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A12940" w14:textId="77777777" w:rsidR="003C7410" w:rsidRPr="006E1E8C" w:rsidRDefault="00A6781F" w:rsidP="00093D0E">
      <w:pPr>
        <w:rPr>
          <w:rFonts w:cs="Times New Roman"/>
          <w:sz w:val="24"/>
          <w:szCs w:val="24"/>
        </w:rPr>
      </w:pPr>
      <w:r w:rsidRPr="006E1E8C">
        <w:rPr>
          <w:rFonts w:cs="Times New Roman"/>
          <w:sz w:val="24"/>
          <w:szCs w:val="24"/>
        </w:rPr>
        <w:t>Dear reviewer:</w:t>
      </w:r>
    </w:p>
    <w:p w14:paraId="57B83D10" w14:textId="313AAFD9" w:rsidR="00A6781F" w:rsidRPr="006E1E8C" w:rsidRDefault="00A6781F" w:rsidP="00093D0E">
      <w:pPr>
        <w:rPr>
          <w:rFonts w:cs="Times New Roman"/>
          <w:sz w:val="24"/>
          <w:szCs w:val="24"/>
        </w:rPr>
      </w:pPr>
      <w:r w:rsidRPr="006E1E8C">
        <w:rPr>
          <w:rFonts w:cs="Times New Roman"/>
          <w:sz w:val="24"/>
          <w:szCs w:val="24"/>
        </w:rPr>
        <w:t xml:space="preserve">  Th</w:t>
      </w:r>
      <w:r w:rsidR="00D07FF5" w:rsidRPr="006E1E8C">
        <w:rPr>
          <w:rFonts w:cs="Times New Roman"/>
          <w:sz w:val="24"/>
          <w:szCs w:val="24"/>
        </w:rPr>
        <w:t>a</w:t>
      </w:r>
      <w:r w:rsidRPr="006E1E8C">
        <w:rPr>
          <w:rFonts w:cs="Times New Roman"/>
          <w:sz w:val="24"/>
          <w:szCs w:val="24"/>
        </w:rPr>
        <w:t>nk you very much for you</w:t>
      </w:r>
      <w:r w:rsidR="00D07FF5" w:rsidRPr="006E1E8C">
        <w:rPr>
          <w:rFonts w:cs="Times New Roman"/>
          <w:sz w:val="24"/>
          <w:szCs w:val="24"/>
        </w:rPr>
        <w:t xml:space="preserve">r </w:t>
      </w:r>
      <w:r w:rsidRPr="006E1E8C">
        <w:rPr>
          <w:rFonts w:cs="Times New Roman"/>
          <w:sz w:val="24"/>
          <w:szCs w:val="24"/>
        </w:rPr>
        <w:t>recommendation of our research “Particle size-dependent fluorescence properties of water-soluble org</w:t>
      </w:r>
      <w:r w:rsidR="00D07FF5" w:rsidRPr="006E1E8C">
        <w:rPr>
          <w:rFonts w:cs="Times New Roman"/>
          <w:sz w:val="24"/>
          <w:szCs w:val="24"/>
        </w:rPr>
        <w:t xml:space="preserve">anic compounds (WSOC) and their </w:t>
      </w:r>
      <w:r w:rsidRPr="006E1E8C">
        <w:rPr>
          <w:rFonts w:cs="Times New Roman"/>
          <w:sz w:val="24"/>
          <w:szCs w:val="24"/>
        </w:rPr>
        <w:t>atmospheric implications on the aging of WSOC”.</w:t>
      </w:r>
      <w:r w:rsidR="00D07FF5" w:rsidRPr="006E1E8C">
        <w:rPr>
          <w:rFonts w:cs="Times New Roman"/>
          <w:sz w:val="24"/>
          <w:szCs w:val="24"/>
        </w:rPr>
        <w:t xml:space="preserve"> It is very kind of you to give comprehensive and thoughtful advises on the present research.</w:t>
      </w:r>
      <w:r w:rsidRPr="006E1E8C">
        <w:rPr>
          <w:rFonts w:cs="Times New Roman"/>
          <w:sz w:val="24"/>
          <w:szCs w:val="24"/>
        </w:rPr>
        <w:t xml:space="preserve"> </w:t>
      </w:r>
      <w:r w:rsidR="00D07FF5" w:rsidRPr="006E1E8C">
        <w:rPr>
          <w:rFonts w:cs="Times New Roman"/>
          <w:sz w:val="24"/>
          <w:szCs w:val="24"/>
        </w:rPr>
        <w:t>We have carefully addressed all of the comments and explained them as following paragraphs. We modified the language though out the article as well. Thank you again.</w:t>
      </w:r>
      <w:r w:rsidR="00BF2A17">
        <w:rPr>
          <w:rFonts w:cs="Times New Roman"/>
          <w:sz w:val="24"/>
          <w:szCs w:val="24"/>
        </w:rPr>
        <w:t xml:space="preserve"> </w:t>
      </w:r>
    </w:p>
    <w:p w14:paraId="520B6D39" w14:textId="77777777" w:rsidR="00D07FF5" w:rsidRPr="006E1E8C" w:rsidRDefault="00D07FF5" w:rsidP="00093D0E">
      <w:pPr>
        <w:rPr>
          <w:rFonts w:cs="Times New Roman"/>
          <w:sz w:val="24"/>
          <w:szCs w:val="24"/>
        </w:rPr>
      </w:pPr>
    </w:p>
    <w:p w14:paraId="1B69F874" w14:textId="77777777" w:rsidR="00D07FF5" w:rsidRPr="006E1E8C" w:rsidRDefault="00D07FF5" w:rsidP="00093D0E">
      <w:pPr>
        <w:widowControl/>
        <w:spacing w:after="100" w:afterAutospacing="1"/>
        <w:rPr>
          <w:rFonts w:cs="Times New Roman"/>
          <w:kern w:val="0"/>
          <w:sz w:val="24"/>
          <w:szCs w:val="24"/>
        </w:rPr>
      </w:pPr>
      <w:r w:rsidRPr="006E1E8C">
        <w:rPr>
          <w:rFonts w:cs="Times New Roman"/>
          <w:b/>
          <w:bCs/>
          <w:kern w:val="0"/>
          <w:sz w:val="24"/>
          <w:szCs w:val="24"/>
        </w:rPr>
        <w:t>For Specific Comments:</w:t>
      </w:r>
    </w:p>
    <w:p w14:paraId="4B6D3E53" w14:textId="77777777" w:rsidR="00D07FF5" w:rsidRPr="0061364C" w:rsidRDefault="0061364C" w:rsidP="00093D0E">
      <w:pPr>
        <w:widowControl/>
        <w:spacing w:after="100" w:afterAutospacing="1"/>
        <w:rPr>
          <w:rFonts w:cs="Times New Roman"/>
          <w:kern w:val="0"/>
          <w:sz w:val="24"/>
          <w:szCs w:val="24"/>
        </w:rPr>
      </w:pPr>
      <w:r w:rsidRPr="0061364C">
        <w:rPr>
          <w:rFonts w:cs="Times New Roman"/>
          <w:b/>
          <w:bCs/>
          <w:kern w:val="0"/>
          <w:sz w:val="24"/>
          <w:szCs w:val="24"/>
        </w:rPr>
        <w:t>1.</w:t>
      </w:r>
      <w:r>
        <w:rPr>
          <w:rFonts w:cs="Times New Roman"/>
          <w:b/>
          <w:bCs/>
          <w:kern w:val="0"/>
          <w:sz w:val="24"/>
          <w:szCs w:val="24"/>
        </w:rPr>
        <w:t xml:space="preserve"> </w:t>
      </w:r>
      <w:r w:rsidR="00D07FF5" w:rsidRPr="0061364C">
        <w:rPr>
          <w:rFonts w:cs="Times New Roman"/>
          <w:b/>
          <w:bCs/>
          <w:kern w:val="0"/>
          <w:sz w:val="24"/>
          <w:szCs w:val="24"/>
        </w:rPr>
        <w:t>Lines 124-127:</w:t>
      </w:r>
      <w:r w:rsidR="00D07FF5" w:rsidRPr="0061364C">
        <w:rPr>
          <w:rFonts w:cs="Times New Roman"/>
          <w:kern w:val="0"/>
          <w:sz w:val="24"/>
          <w:szCs w:val="24"/>
        </w:rPr>
        <w:t xml:space="preserve"> The text in lines 124-125 is repeating the same information as that provided in lines 115-120. Furthermore, the sentence in lines 126-127 makes more sense in a Introduction section, rather than in a Data analysis section.</w:t>
      </w:r>
    </w:p>
    <w:p w14:paraId="38FCDB3B" w14:textId="77777777" w:rsidR="00EA00B0" w:rsidRDefault="00D07FF5" w:rsidP="00093D0E">
      <w:pPr>
        <w:rPr>
          <w:rFonts w:cs="Times New Roman"/>
          <w:sz w:val="24"/>
          <w:szCs w:val="24"/>
        </w:rPr>
      </w:pPr>
      <w:r w:rsidRPr="00EA00B0">
        <w:rPr>
          <w:rFonts w:cs="Times New Roman"/>
          <w:b/>
          <w:bCs/>
          <w:sz w:val="24"/>
          <w:szCs w:val="24"/>
        </w:rPr>
        <w:t>Thank you for your advice.</w:t>
      </w:r>
      <w:r w:rsidRPr="006E1E8C">
        <w:rPr>
          <w:rFonts w:cs="Times New Roman"/>
          <w:sz w:val="24"/>
          <w:szCs w:val="24"/>
        </w:rPr>
        <w:t xml:space="preserve"> </w:t>
      </w:r>
      <w:r w:rsidR="00EA00B0">
        <w:rPr>
          <w:rFonts w:cs="Times New Roman"/>
          <w:sz w:val="24"/>
          <w:szCs w:val="24"/>
        </w:rPr>
        <w:t xml:space="preserve">We have deleted the repeated description in line 124-125, and moved the </w:t>
      </w:r>
      <w:r w:rsidR="00EA00B0" w:rsidRPr="00EA00B0">
        <w:rPr>
          <w:rFonts w:cs="Times New Roman"/>
          <w:sz w:val="24"/>
          <w:szCs w:val="24"/>
        </w:rPr>
        <w:t>sentence in lines 126-127</w:t>
      </w:r>
      <w:r w:rsidR="00EA00B0">
        <w:rPr>
          <w:rFonts w:cs="Times New Roman"/>
          <w:sz w:val="24"/>
          <w:szCs w:val="24"/>
        </w:rPr>
        <w:t xml:space="preserve"> to lines 65-67of Introduction section, they are now read as:</w:t>
      </w:r>
    </w:p>
    <w:p w14:paraId="5773418C" w14:textId="77777777" w:rsidR="00D07FF5" w:rsidRDefault="00EA00B0" w:rsidP="00093D0E">
      <w:pPr>
        <w:rPr>
          <w:rFonts w:cs="Times New Roman"/>
          <w:sz w:val="24"/>
          <w:szCs w:val="24"/>
        </w:rPr>
      </w:pPr>
      <w:r>
        <w:rPr>
          <w:rFonts w:cs="Times New Roman"/>
          <w:sz w:val="24"/>
          <w:szCs w:val="24"/>
        </w:rPr>
        <w:t>“</w:t>
      </w:r>
      <w:r w:rsidRPr="00EA00B0">
        <w:rPr>
          <w:rFonts w:cs="Times New Roman"/>
          <w:sz w:val="24"/>
          <w:szCs w:val="24"/>
          <w:lang w:val="en-GB"/>
        </w:rPr>
        <w:t>Fluorescence indice</w:t>
      </w:r>
      <w:r w:rsidRPr="00EA00B0">
        <w:rPr>
          <w:rFonts w:cs="Times New Roman" w:hint="eastAsia"/>
          <w:sz w:val="24"/>
          <w:szCs w:val="24"/>
          <w:lang w:val="en-GB"/>
        </w:rPr>
        <w:t>s</w:t>
      </w:r>
      <w:r w:rsidRPr="00EA00B0">
        <w:rPr>
          <w:rFonts w:cs="Times New Roman"/>
          <w:sz w:val="24"/>
          <w:szCs w:val="24"/>
          <w:lang w:val="en-GB"/>
        </w:rPr>
        <w:t xml:space="preserve"> are important subsidiary approach to statistically analysis EEM data (Qin et al., 2018; Yue et al., 2019)</w:t>
      </w:r>
      <w:r w:rsidRPr="00EA00B0">
        <w:rPr>
          <w:rFonts w:cs="Times New Roman" w:hint="eastAsia"/>
          <w:sz w:val="24"/>
          <w:szCs w:val="24"/>
          <w:lang w:val="en-GB"/>
        </w:rPr>
        <w:t>,</w:t>
      </w:r>
      <w:r w:rsidRPr="00EA00B0">
        <w:rPr>
          <w:rFonts w:cs="Times New Roman"/>
          <w:sz w:val="24"/>
          <w:szCs w:val="24"/>
          <w:lang w:val="en-GB"/>
        </w:rPr>
        <w:t xml:space="preserve"> which were determined by the chemical structure of pollutants (Andrade-Eiroa et al., 2013a) thus fluorescent indices and partitioning methods were fairish extending to WSOC analysis.</w:t>
      </w:r>
      <w:r>
        <w:rPr>
          <w:rFonts w:cs="Times New Roman"/>
          <w:sz w:val="24"/>
          <w:szCs w:val="24"/>
        </w:rPr>
        <w:t xml:space="preserve">” </w:t>
      </w:r>
    </w:p>
    <w:p w14:paraId="7BA66CE6" w14:textId="77777777" w:rsidR="00EA00B0" w:rsidRPr="006E1E8C" w:rsidRDefault="00EA00B0" w:rsidP="00093D0E">
      <w:pPr>
        <w:rPr>
          <w:rFonts w:cs="Times New Roman"/>
          <w:sz w:val="24"/>
          <w:szCs w:val="24"/>
        </w:rPr>
      </w:pPr>
    </w:p>
    <w:p w14:paraId="3AACB9FA" w14:textId="77777777" w:rsidR="00D07FF5" w:rsidRPr="006E1E8C" w:rsidRDefault="0061364C" w:rsidP="00093D0E">
      <w:pPr>
        <w:widowControl/>
        <w:spacing w:after="100" w:afterAutospacing="1"/>
        <w:rPr>
          <w:rFonts w:cs="Times New Roman"/>
          <w:kern w:val="0"/>
          <w:sz w:val="24"/>
          <w:szCs w:val="24"/>
        </w:rPr>
      </w:pPr>
      <w:r>
        <w:rPr>
          <w:rFonts w:cs="Times New Roman"/>
          <w:b/>
          <w:bCs/>
          <w:kern w:val="0"/>
          <w:sz w:val="24"/>
          <w:szCs w:val="24"/>
        </w:rPr>
        <w:t xml:space="preserve">2. </w:t>
      </w:r>
      <w:r w:rsidR="00D07FF5" w:rsidRPr="00EA00B0">
        <w:rPr>
          <w:rFonts w:cs="Times New Roman"/>
          <w:b/>
          <w:bCs/>
          <w:kern w:val="0"/>
          <w:sz w:val="24"/>
          <w:szCs w:val="24"/>
        </w:rPr>
        <w:t xml:space="preserve">Section 2.4.3. </w:t>
      </w:r>
      <w:r w:rsidR="00D07FF5" w:rsidRPr="006E1E8C">
        <w:rPr>
          <w:rFonts w:cs="Times New Roman"/>
          <w:kern w:val="0"/>
          <w:sz w:val="24"/>
          <w:szCs w:val="24"/>
        </w:rPr>
        <w:t>Grey relational analysis (GRA): The authors make a strong focus on the novelty of GRA applied to the analysis of EEM fluorescence data. Nevertheless, this is the most obscure section of this study, particularly to those potential readers not familiarized with this analytical tool. The authors should provide a thorough explanation regarding the meaning of each variable in equations (5) and (6) and their relation to the EEM fluorescence data. Furthermore, it is unclear to which factors are the authors referring to when stating that the “fluorescence intensity is highly affected by WSOC concentrations and many other factors (…)” and that “their relations are not clear”. Please, be more clear regarding these issues, and explain why you are considering the particles &lt; 0.26 µm as “the references” (only mentioned in line 256)? Moreover, when referring to the “references”, do you mean the EEM fluorescence data of WSOC from particles &lt; 0.26 µm? All these issues need to be adequately addressed and thoroughly explained in the manuscript.</w:t>
      </w:r>
    </w:p>
    <w:p w14:paraId="0F678091" w14:textId="77777777" w:rsidR="00D07FF5" w:rsidRDefault="00D07FF5" w:rsidP="00093D0E">
      <w:pPr>
        <w:rPr>
          <w:rFonts w:cs="Times New Roman"/>
          <w:sz w:val="24"/>
          <w:szCs w:val="24"/>
        </w:rPr>
      </w:pPr>
      <w:r w:rsidRPr="00EA00B0">
        <w:rPr>
          <w:rFonts w:cs="Times New Roman"/>
          <w:b/>
          <w:bCs/>
          <w:sz w:val="24"/>
          <w:szCs w:val="24"/>
        </w:rPr>
        <w:t xml:space="preserve">Thank you for your advice. </w:t>
      </w:r>
      <w:r w:rsidR="00EA00B0">
        <w:rPr>
          <w:rFonts w:cs="Times New Roman"/>
          <w:sz w:val="24"/>
          <w:szCs w:val="24"/>
        </w:rPr>
        <w:t xml:space="preserve">We are really sorry for so many confusions in the </w:t>
      </w:r>
      <w:r w:rsidR="00EA00B0" w:rsidRPr="00EA00B0">
        <w:rPr>
          <w:rFonts w:cs="Times New Roman"/>
          <w:sz w:val="24"/>
          <w:szCs w:val="24"/>
        </w:rPr>
        <w:t>Grey relational analysis</w:t>
      </w:r>
      <w:r w:rsidR="00EA00B0">
        <w:rPr>
          <w:rFonts w:cs="Times New Roman"/>
          <w:sz w:val="24"/>
          <w:szCs w:val="24"/>
        </w:rPr>
        <w:t xml:space="preserve"> (GRA) section. After seriously consideration, we have reconstructed this section, left detailed information on reference and comparison sequences of GRA in the manuscript and moved the definition of GRA method to supplementary information section 1. They are now read as follows.</w:t>
      </w:r>
    </w:p>
    <w:p w14:paraId="10BBFEDD" w14:textId="77777777" w:rsidR="00EA00B0" w:rsidRDefault="00EA00B0" w:rsidP="00093D0E">
      <w:pPr>
        <w:rPr>
          <w:rFonts w:cs="Times New Roman"/>
          <w:sz w:val="24"/>
          <w:szCs w:val="24"/>
        </w:rPr>
      </w:pPr>
      <w:r>
        <w:rPr>
          <w:rFonts w:cs="Times New Roman" w:hint="eastAsia"/>
          <w:sz w:val="24"/>
          <w:szCs w:val="24"/>
        </w:rPr>
        <w:t>I</w:t>
      </w:r>
      <w:r>
        <w:rPr>
          <w:rFonts w:cs="Times New Roman"/>
          <w:sz w:val="24"/>
          <w:szCs w:val="24"/>
        </w:rPr>
        <w:t>n manuscript 2.4.3</w:t>
      </w:r>
    </w:p>
    <w:p w14:paraId="172D2301" w14:textId="77777777" w:rsidR="00EA00B0" w:rsidRPr="00EA00B0" w:rsidRDefault="00EA00B0" w:rsidP="00093D0E">
      <w:pPr>
        <w:rPr>
          <w:rFonts w:cs="Times New Roman"/>
          <w:b/>
          <w:bCs/>
          <w:sz w:val="24"/>
          <w:szCs w:val="24"/>
        </w:rPr>
      </w:pPr>
      <w:r>
        <w:rPr>
          <w:rFonts w:cs="Times New Roman"/>
          <w:sz w:val="24"/>
          <w:szCs w:val="24"/>
        </w:rPr>
        <w:t>“</w:t>
      </w:r>
      <w:r w:rsidR="0061364C" w:rsidRPr="00CC175C">
        <w:t xml:space="preserve">Grey relational analysis (GRA) is a part of the grey system theory proposed by Deng (1982), that </w:t>
      </w:r>
      <w:r w:rsidR="0061364C" w:rsidRPr="00CC175C">
        <w:rPr>
          <w:rFonts w:eastAsiaTheme="minorEastAsia"/>
        </w:rPr>
        <w:t>can be used to describe the relative changes among factors in a system development process.</w:t>
      </w:r>
      <w:r w:rsidR="0061364C">
        <w:t xml:space="preserve"> The detailed calculation of grey relational degree (GRD) was explained in supplementary information. </w:t>
      </w:r>
      <w:r w:rsidR="0061364C">
        <w:lastRenderedPageBreak/>
        <w:t xml:space="preserve">Generally, in GRA, a reference line and one or a series of comparison sequences were selected, the GRD between </w:t>
      </w:r>
      <w:r w:rsidR="0061364C" w:rsidRPr="009B11A0">
        <w:t>reference line</w:t>
      </w:r>
      <w:r w:rsidR="0061364C">
        <w:t xml:space="preserve"> and </w:t>
      </w:r>
      <w:r w:rsidR="0061364C" w:rsidRPr="009B11A0">
        <w:t>comparison</w:t>
      </w:r>
      <w:r w:rsidR="0061364C">
        <w:t xml:space="preserve"> line indicated the </w:t>
      </w:r>
      <w:r w:rsidR="0061364C" w:rsidRPr="009B11A0">
        <w:t>compactness</w:t>
      </w:r>
      <w:r w:rsidR="0061364C">
        <w:t xml:space="preserve"> degree. The fluorescence properties of WSOC </w:t>
      </w:r>
      <w:r w:rsidR="0061364C">
        <w:rPr>
          <w:rFonts w:hint="eastAsia"/>
        </w:rPr>
        <w:t>were</w:t>
      </w:r>
      <w:r w:rsidR="0061364C">
        <w:t xml:space="preserve"> considered as</w:t>
      </w:r>
      <w:r w:rsidR="0061364C" w:rsidRPr="00CC175C">
        <w:t xml:space="preserve"> a grey system</w:t>
      </w:r>
      <w:r w:rsidR="0061364C">
        <w:t>. Two sets of GRA were performed for WSOC of each season. Firstly, considering the evolution of particle sizes as a changing system, larger particles might come from the accumulatio</w:t>
      </w:r>
      <w:r w:rsidR="0061364C" w:rsidRPr="000658A8">
        <w:t>n</w:t>
      </w:r>
      <w:r w:rsidR="0061364C">
        <w:t xml:space="preserve"> and transformation of smaller particle, especially for ultrafine particles. By setting data of particles smaller than 0.26 </w:t>
      </w:r>
      <w:r w:rsidR="0061364C" w:rsidRPr="00DD04D9">
        <w:t>µm</w:t>
      </w:r>
      <w:r w:rsidR="0061364C">
        <w:t xml:space="preserve"> (WSOC concentrations, AFI or UV) as references</w:t>
      </w:r>
      <w:r w:rsidR="0061364C">
        <w:rPr>
          <w:rFonts w:hint="eastAsia"/>
        </w:rPr>
        <w:t xml:space="preserve"> and particles larger than </w:t>
      </w:r>
      <w:r w:rsidR="0061364C">
        <w:t xml:space="preserve">0.26 </w:t>
      </w:r>
      <w:r w:rsidR="0061364C" w:rsidRPr="00DD04D9">
        <w:t>µm</w:t>
      </w:r>
      <w:r w:rsidR="0061364C">
        <w:rPr>
          <w:rFonts w:hint="eastAsia"/>
        </w:rPr>
        <w:t xml:space="preserve"> as comparisons</w:t>
      </w:r>
      <w:r w:rsidR="0061364C">
        <w:t>, the</w:t>
      </w:r>
      <w:r w:rsidR="0061364C">
        <w:rPr>
          <w:rFonts w:hint="eastAsia"/>
        </w:rPr>
        <w:t>ir</w:t>
      </w:r>
      <w:r w:rsidR="0061364C">
        <w:t xml:space="preserve"> </w:t>
      </w:r>
      <w:r w:rsidR="0061364C" w:rsidRPr="00311E63">
        <w:t>affinities</w:t>
      </w:r>
      <w:r w:rsidR="0061364C">
        <w:rPr>
          <w:rFonts w:hint="eastAsia"/>
        </w:rPr>
        <w:t xml:space="preserve"> were analy</w:t>
      </w:r>
      <w:r w:rsidR="0061364C">
        <w:t>z</w:t>
      </w:r>
      <w:r w:rsidR="0061364C">
        <w:rPr>
          <w:rFonts w:hint="eastAsia"/>
        </w:rPr>
        <w:t xml:space="preserve">ed by GRA. </w:t>
      </w:r>
      <w:r w:rsidR="0061364C">
        <w:t>S</w:t>
      </w:r>
      <w:r w:rsidR="0061364C">
        <w:rPr>
          <w:rFonts w:hint="eastAsia"/>
        </w:rPr>
        <w:t xml:space="preserve">econdly, </w:t>
      </w:r>
      <w:r w:rsidR="0061364C" w:rsidRPr="00E016D9">
        <w:t xml:space="preserve">the fluorescence </w:t>
      </w:r>
      <w:r w:rsidR="0061364C">
        <w:t xml:space="preserve">spectra </w:t>
      </w:r>
      <w:r w:rsidR="0061364C" w:rsidRPr="00E016D9">
        <w:t>w</w:t>
      </w:r>
      <w:r w:rsidR="0061364C">
        <w:t>ere</w:t>
      </w:r>
      <w:r w:rsidR="0061364C" w:rsidRPr="00E016D9">
        <w:t xml:space="preserve"> generated by part of WSOC, </w:t>
      </w:r>
      <w:r w:rsidR="0061364C">
        <w:rPr>
          <w:rFonts w:hint="eastAsia"/>
        </w:rPr>
        <w:t xml:space="preserve">setting the WSOC </w:t>
      </w:r>
      <w:r w:rsidR="0061364C">
        <w:t>concentrations</w:t>
      </w:r>
      <w:r w:rsidR="0061364C">
        <w:rPr>
          <w:rFonts w:hint="eastAsia"/>
        </w:rPr>
        <w:t xml:space="preserve"> as references</w:t>
      </w:r>
      <w:r w:rsidR="0061364C">
        <w:t xml:space="preserve"> and AFI (or UV) as comparison,</w:t>
      </w:r>
      <w:r w:rsidR="0061364C">
        <w:rPr>
          <w:rFonts w:hint="eastAsia"/>
        </w:rPr>
        <w:t xml:space="preserve"> the </w:t>
      </w:r>
      <w:r w:rsidR="0061364C">
        <w:t>relations</w:t>
      </w:r>
      <w:r w:rsidR="0061364C">
        <w:rPr>
          <w:rFonts w:hint="eastAsia"/>
        </w:rPr>
        <w:t xml:space="preserve"> between WSOC and AFI for six </w:t>
      </w:r>
      <w:r w:rsidR="0061364C">
        <w:t>stage</w:t>
      </w:r>
      <w:r w:rsidR="0061364C">
        <w:rPr>
          <w:rFonts w:hint="eastAsia"/>
        </w:rPr>
        <w:t xml:space="preserve"> particles were analy</w:t>
      </w:r>
      <w:r w:rsidR="0061364C">
        <w:t>z</w:t>
      </w:r>
      <w:r w:rsidR="0061364C">
        <w:rPr>
          <w:rFonts w:hint="eastAsia"/>
        </w:rPr>
        <w:t>ed</w:t>
      </w:r>
      <w:r w:rsidRPr="00EA00B0">
        <w:rPr>
          <w:rFonts w:cs="Times New Roman"/>
          <w:sz w:val="24"/>
          <w:szCs w:val="24"/>
        </w:rPr>
        <w:t>.</w:t>
      </w:r>
      <w:r>
        <w:rPr>
          <w:rFonts w:cs="Times New Roman"/>
          <w:sz w:val="24"/>
          <w:szCs w:val="24"/>
        </w:rPr>
        <w:t>”</w:t>
      </w:r>
    </w:p>
    <w:p w14:paraId="39A4921D" w14:textId="77777777" w:rsidR="00992EB4" w:rsidRDefault="00992EB4" w:rsidP="00093D0E">
      <w:pPr>
        <w:rPr>
          <w:rFonts w:cs="Times New Roman"/>
          <w:sz w:val="24"/>
          <w:szCs w:val="24"/>
        </w:rPr>
      </w:pPr>
    </w:p>
    <w:p w14:paraId="79863793" w14:textId="77777777" w:rsidR="00EA00B0" w:rsidRDefault="00EA00B0" w:rsidP="00093D0E">
      <w:pPr>
        <w:rPr>
          <w:rFonts w:cs="Times New Roman"/>
          <w:sz w:val="24"/>
          <w:szCs w:val="24"/>
        </w:rPr>
      </w:pPr>
      <w:r>
        <w:rPr>
          <w:rFonts w:cs="Times New Roman"/>
          <w:sz w:val="24"/>
          <w:szCs w:val="24"/>
        </w:rPr>
        <w:t>In SI section 1</w:t>
      </w:r>
    </w:p>
    <w:p w14:paraId="2D0F08D3" w14:textId="77777777" w:rsidR="00EA00B0" w:rsidRPr="00EA00B0" w:rsidRDefault="00EA00B0" w:rsidP="00093D0E">
      <w:pPr>
        <w:rPr>
          <w:rFonts w:eastAsiaTheme="minorEastAsia" w:cs="Times New Roman"/>
          <w:sz w:val="24"/>
          <w:szCs w:val="24"/>
        </w:rPr>
      </w:pPr>
      <w:r>
        <w:rPr>
          <w:rFonts w:cs="Times New Roman"/>
          <w:sz w:val="24"/>
          <w:szCs w:val="24"/>
        </w:rPr>
        <w:t>“</w:t>
      </w:r>
      <w:r w:rsidRPr="00EA00B0">
        <w:t xml:space="preserve">The fluorescence properties present in an EEM spectrum </w:t>
      </w:r>
      <w:r w:rsidR="003618CB">
        <w:t>are</w:t>
      </w:r>
      <w:r w:rsidRPr="00EA00B0">
        <w:t xml:space="preserve"> multifactor triggered result</w:t>
      </w:r>
      <w:r w:rsidR="003618CB">
        <w:t>s of</w:t>
      </w:r>
      <w:r w:rsidRPr="00EA00B0">
        <w:t xml:space="preserve"> concentrations, chemical compositions, and even co-existing ions of carbonate species in WSOC. </w:t>
      </w:r>
      <w:r w:rsidRPr="00EA00B0">
        <w:rPr>
          <w:rFonts w:eastAsiaTheme="minorEastAsia"/>
        </w:rPr>
        <w:t xml:space="preserve">The principle of GRA is to estimate the similarity and degree of the compactness among factors based on the geometric shape of the different sequences. </w:t>
      </w:r>
      <w:r w:rsidRPr="00EA00B0">
        <w:t xml:space="preserve">To perform GRA, references and comparison sequences should be selected and converted to the dimensionless format. </w:t>
      </w:r>
      <w:r w:rsidRPr="00EA00B0">
        <w:rPr>
          <w:rFonts w:cs="Times New Roman"/>
          <w:sz w:val="24"/>
          <w:szCs w:val="24"/>
        </w:rPr>
        <w:t>The grey relational coefficients ξ of the series and grey relational degree are calculated as follows:</w:t>
      </w:r>
    </w:p>
    <w:p w14:paraId="34D25B66" w14:textId="77777777" w:rsidR="00EA00B0" w:rsidRPr="00EA00B0" w:rsidRDefault="00F448B9" w:rsidP="00093D0E">
      <w:pPr>
        <w:rPr>
          <w:rFonts w:cs="Times New Roman"/>
          <w:sz w:val="24"/>
          <w:szCs w:val="24"/>
          <w:lang w:val="en-GB"/>
        </w:rPr>
      </w:pPr>
      <m:oMath>
        <m:sSub>
          <m:sSubPr>
            <m:ctrlPr>
              <w:rPr>
                <w:rFonts w:ascii="Cambria Math" w:eastAsiaTheme="minorEastAsia" w:hAnsi="Cambria Math" w:cs="Times New Roman"/>
                <w:sz w:val="24"/>
                <w:szCs w:val="24"/>
                <w:lang w:val="en-GB" w:eastAsia="de-DE"/>
              </w:rPr>
            </m:ctrlPr>
          </m:sSubPr>
          <m:e>
            <m:r>
              <w:rPr>
                <w:rFonts w:ascii="Cambria Math" w:eastAsiaTheme="minorEastAsia" w:hAnsi="Cambria Math" w:cs="Times New Roman"/>
                <w:sz w:val="24"/>
                <w:szCs w:val="24"/>
                <w:lang w:val="en-GB" w:eastAsia="de-DE"/>
              </w:rPr>
              <m:t>ξ</m:t>
            </m:r>
          </m:e>
          <m:sub>
            <m:r>
              <w:rPr>
                <w:rFonts w:ascii="Cambria Math" w:eastAsiaTheme="minorEastAsia" w:hAnsi="Cambria Math" w:cs="Times New Roman"/>
                <w:sz w:val="24"/>
                <w:szCs w:val="24"/>
                <w:lang w:val="en-GB" w:eastAsia="de-DE"/>
              </w:rPr>
              <m:t>i</m:t>
            </m:r>
          </m:sub>
        </m:sSub>
        <m:d>
          <m:dPr>
            <m:ctrlPr>
              <w:rPr>
                <w:rFonts w:ascii="Cambria Math" w:eastAsiaTheme="minorEastAsia" w:hAnsi="Cambria Math" w:cs="Times New Roman"/>
                <w:sz w:val="24"/>
                <w:szCs w:val="24"/>
                <w:lang w:val="en-GB" w:eastAsia="de-DE"/>
              </w:rPr>
            </m:ctrlPr>
          </m:dPr>
          <m:e>
            <m:r>
              <w:rPr>
                <w:rFonts w:ascii="Cambria Math" w:eastAsiaTheme="minorEastAsia" w:hAnsi="Cambria Math" w:cs="Times New Roman"/>
                <w:sz w:val="24"/>
                <w:szCs w:val="24"/>
                <w:lang w:val="en-GB" w:eastAsia="de-DE"/>
              </w:rPr>
              <m:t>k</m:t>
            </m:r>
          </m:e>
        </m:d>
        <m:r>
          <m:rPr>
            <m:sty m:val="p"/>
          </m:rPr>
          <w:rPr>
            <w:rFonts w:ascii="Cambria Math" w:eastAsiaTheme="minorEastAsia" w:hAnsi="Cambria Math" w:cs="Times New Roman"/>
            <w:sz w:val="24"/>
            <w:szCs w:val="24"/>
            <w:lang w:val="en-GB" w:eastAsia="de-DE"/>
          </w:rPr>
          <m:t>=</m:t>
        </m:r>
        <m:f>
          <m:fPr>
            <m:ctrlPr>
              <w:rPr>
                <w:rFonts w:ascii="Cambria Math" w:eastAsiaTheme="minorEastAsia" w:hAnsi="Cambria Math" w:cs="Times New Roman"/>
                <w:sz w:val="24"/>
                <w:szCs w:val="24"/>
                <w:lang w:val="en-GB" w:eastAsia="de-DE"/>
              </w:rPr>
            </m:ctrlPr>
          </m:fPr>
          <m:num>
            <m:func>
              <m:funcPr>
                <m:ctrlPr>
                  <w:rPr>
                    <w:rFonts w:ascii="Cambria Math" w:eastAsiaTheme="minorEastAsia" w:hAnsi="Cambria Math" w:cs="Times New Roman"/>
                    <w:sz w:val="24"/>
                    <w:szCs w:val="24"/>
                    <w:lang w:val="en-GB" w:eastAsia="de-DE"/>
                  </w:rPr>
                </m:ctrlPr>
              </m:funcPr>
              <m:fName>
                <m:limLow>
                  <m:limLowPr>
                    <m:ctrlPr>
                      <w:rPr>
                        <w:rFonts w:ascii="Cambria Math" w:eastAsiaTheme="minorEastAsia" w:hAnsi="Cambria Math" w:cs="Times New Roman"/>
                        <w:sz w:val="24"/>
                        <w:szCs w:val="24"/>
                        <w:lang w:val="en-GB" w:eastAsia="de-DE"/>
                      </w:rPr>
                    </m:ctrlPr>
                  </m:limLowPr>
                  <m:e>
                    <m:r>
                      <m:rPr>
                        <m:sty m:val="p"/>
                      </m:rPr>
                      <w:rPr>
                        <w:rFonts w:ascii="Cambria Math" w:eastAsiaTheme="minorEastAsia" w:hAnsi="Cambria Math" w:cs="Times New Roman"/>
                        <w:sz w:val="24"/>
                        <w:szCs w:val="24"/>
                        <w:lang w:val="en-GB" w:eastAsia="de-DE"/>
                      </w:rPr>
                      <m:t>min</m:t>
                    </m:r>
                  </m:e>
                  <m:lim>
                    <m:r>
                      <w:rPr>
                        <w:rFonts w:ascii="Cambria Math" w:eastAsiaTheme="minorEastAsia" w:hAnsi="Cambria Math" w:cs="Times New Roman"/>
                        <w:sz w:val="24"/>
                        <w:szCs w:val="24"/>
                        <w:lang w:val="en-GB" w:eastAsia="de-DE"/>
                      </w:rPr>
                      <m:t>i</m:t>
                    </m:r>
                  </m:lim>
                </m:limLow>
              </m:fName>
              <m:e>
                <m:func>
                  <m:funcPr>
                    <m:ctrlPr>
                      <w:rPr>
                        <w:rFonts w:ascii="Cambria Math" w:eastAsiaTheme="minorEastAsia" w:hAnsi="Cambria Math" w:cs="Times New Roman"/>
                        <w:sz w:val="24"/>
                        <w:szCs w:val="24"/>
                        <w:lang w:val="en-GB" w:eastAsia="de-DE"/>
                      </w:rPr>
                    </m:ctrlPr>
                  </m:funcPr>
                  <m:fName>
                    <m:limLow>
                      <m:limLowPr>
                        <m:ctrlPr>
                          <w:rPr>
                            <w:rFonts w:ascii="Cambria Math" w:eastAsiaTheme="minorEastAsia" w:hAnsi="Cambria Math" w:cs="Times New Roman"/>
                            <w:sz w:val="24"/>
                            <w:szCs w:val="24"/>
                            <w:lang w:val="en-GB" w:eastAsia="de-DE"/>
                          </w:rPr>
                        </m:ctrlPr>
                      </m:limLowPr>
                      <m:e>
                        <m:r>
                          <m:rPr>
                            <m:sty m:val="p"/>
                          </m:rPr>
                          <w:rPr>
                            <w:rFonts w:ascii="Cambria Math" w:eastAsiaTheme="minorEastAsia" w:hAnsi="Cambria Math" w:cs="Times New Roman"/>
                            <w:sz w:val="24"/>
                            <w:szCs w:val="24"/>
                            <w:lang w:val="en-GB" w:eastAsia="de-DE"/>
                          </w:rPr>
                          <m:t>min</m:t>
                        </m:r>
                      </m:e>
                      <m:lim>
                        <m:r>
                          <w:rPr>
                            <w:rFonts w:ascii="Cambria Math" w:eastAsiaTheme="minorEastAsia" w:hAnsi="Cambria Math" w:cs="Times New Roman"/>
                            <w:sz w:val="24"/>
                            <w:szCs w:val="24"/>
                            <w:lang w:val="en-GB" w:eastAsia="de-DE"/>
                          </w:rPr>
                          <m:t>k</m:t>
                        </m:r>
                      </m:lim>
                    </m:limLow>
                  </m:fName>
                  <m:e>
                    <m:d>
                      <m:dPr>
                        <m:begChr m:val="|"/>
                        <m:endChr m:val="|"/>
                        <m:ctrlPr>
                          <w:rPr>
                            <w:rFonts w:ascii="Cambria Math" w:eastAsiaTheme="minorEastAsia" w:hAnsi="Cambria Math" w:cs="Times New Roman"/>
                            <w:sz w:val="24"/>
                            <w:szCs w:val="24"/>
                            <w:lang w:val="en-GB" w:eastAsia="de-DE"/>
                          </w:rPr>
                        </m:ctrlPr>
                      </m:dPr>
                      <m:e>
                        <m:r>
                          <w:rPr>
                            <w:rFonts w:ascii="Cambria Math" w:eastAsiaTheme="minorEastAsia" w:hAnsi="Cambria Math" w:cs="Times New Roman"/>
                            <w:sz w:val="24"/>
                            <w:szCs w:val="24"/>
                            <w:lang w:val="en-GB" w:eastAsia="de-DE"/>
                          </w:rPr>
                          <m:t>y</m:t>
                        </m:r>
                        <m:d>
                          <m:dPr>
                            <m:ctrlPr>
                              <w:rPr>
                                <w:rFonts w:ascii="Cambria Math" w:eastAsiaTheme="minorEastAsia" w:hAnsi="Cambria Math" w:cs="Times New Roman"/>
                                <w:sz w:val="24"/>
                                <w:szCs w:val="24"/>
                                <w:lang w:val="en-GB" w:eastAsia="de-DE"/>
                              </w:rPr>
                            </m:ctrlPr>
                          </m:dPr>
                          <m:e>
                            <m:r>
                              <w:rPr>
                                <w:rFonts w:ascii="Cambria Math" w:eastAsiaTheme="minorEastAsia" w:hAnsi="Cambria Math" w:cs="Times New Roman"/>
                                <w:sz w:val="24"/>
                                <w:szCs w:val="24"/>
                                <w:lang w:val="en-GB" w:eastAsia="de-DE"/>
                              </w:rPr>
                              <m:t>k</m:t>
                            </m:r>
                          </m:e>
                        </m:d>
                        <m:r>
                          <m:rPr>
                            <m:sty m:val="p"/>
                          </m:rPr>
                          <w:rPr>
                            <w:rFonts w:ascii="Cambria Math" w:eastAsiaTheme="minorEastAsia" w:hAnsi="Cambria Math" w:cs="Times New Roman"/>
                            <w:sz w:val="24"/>
                            <w:szCs w:val="24"/>
                            <w:lang w:val="en-GB" w:eastAsia="de-DE"/>
                          </w:rPr>
                          <m:t>-</m:t>
                        </m:r>
                        <m:sSub>
                          <m:sSubPr>
                            <m:ctrlPr>
                              <w:rPr>
                                <w:rFonts w:ascii="Cambria Math" w:eastAsiaTheme="minorEastAsia" w:hAnsi="Cambria Math" w:cs="Times New Roman"/>
                                <w:sz w:val="24"/>
                                <w:szCs w:val="24"/>
                                <w:lang w:val="en-GB" w:eastAsia="de-DE"/>
                              </w:rPr>
                            </m:ctrlPr>
                          </m:sSubPr>
                          <m:e>
                            <m:r>
                              <w:rPr>
                                <w:rFonts w:ascii="Cambria Math" w:eastAsiaTheme="minorEastAsia" w:hAnsi="Cambria Math" w:cs="Times New Roman"/>
                                <w:sz w:val="24"/>
                                <w:szCs w:val="24"/>
                                <w:lang w:val="en-GB" w:eastAsia="de-DE"/>
                              </w:rPr>
                              <m:t>x</m:t>
                            </m:r>
                          </m:e>
                          <m:sub>
                            <m:r>
                              <w:rPr>
                                <w:rFonts w:ascii="Cambria Math" w:eastAsiaTheme="minorEastAsia" w:hAnsi="Cambria Math" w:cs="Times New Roman"/>
                                <w:sz w:val="24"/>
                                <w:szCs w:val="24"/>
                                <w:lang w:val="en-GB" w:eastAsia="de-DE"/>
                              </w:rPr>
                              <m:t>i</m:t>
                            </m:r>
                          </m:sub>
                        </m:sSub>
                        <m:r>
                          <m:rPr>
                            <m:sty m:val="p"/>
                          </m:rPr>
                          <w:rPr>
                            <w:rFonts w:ascii="Cambria Math" w:eastAsiaTheme="minorEastAsia" w:hAnsi="Cambria Math" w:cs="Times New Roman"/>
                            <w:sz w:val="24"/>
                            <w:szCs w:val="24"/>
                            <w:lang w:val="en-GB" w:eastAsia="de-DE"/>
                          </w:rPr>
                          <m:t>(</m:t>
                        </m:r>
                        <m:r>
                          <w:rPr>
                            <w:rFonts w:ascii="Cambria Math" w:eastAsiaTheme="minorEastAsia" w:hAnsi="Cambria Math" w:cs="Times New Roman"/>
                            <w:sz w:val="24"/>
                            <w:szCs w:val="24"/>
                            <w:lang w:val="en-GB" w:eastAsia="de-DE"/>
                          </w:rPr>
                          <m:t>k</m:t>
                        </m:r>
                        <m:r>
                          <m:rPr>
                            <m:sty m:val="p"/>
                          </m:rPr>
                          <w:rPr>
                            <w:rFonts w:ascii="Cambria Math" w:eastAsiaTheme="minorEastAsia" w:hAnsi="Cambria Math" w:cs="Times New Roman"/>
                            <w:sz w:val="24"/>
                            <w:szCs w:val="24"/>
                            <w:lang w:val="en-GB" w:eastAsia="de-DE"/>
                          </w:rPr>
                          <m:t>)</m:t>
                        </m:r>
                      </m:e>
                    </m:d>
                    <m:r>
                      <m:rPr>
                        <m:sty m:val="p"/>
                      </m:rPr>
                      <w:rPr>
                        <w:rFonts w:ascii="Cambria Math" w:eastAsiaTheme="minorEastAsia" w:hAnsi="Cambria Math" w:cs="Times New Roman"/>
                        <w:sz w:val="24"/>
                        <w:szCs w:val="24"/>
                        <w:lang w:val="en-GB" w:eastAsia="de-DE"/>
                      </w:rPr>
                      <m:t>+</m:t>
                    </m:r>
                    <m:r>
                      <w:rPr>
                        <w:rFonts w:ascii="Cambria Math" w:eastAsiaTheme="minorEastAsia" w:hAnsi="Cambria Math" w:cs="Times New Roman"/>
                        <w:sz w:val="24"/>
                        <w:szCs w:val="24"/>
                        <w:lang w:val="en-GB" w:eastAsia="de-DE"/>
                      </w:rPr>
                      <m:t>ρ</m:t>
                    </m:r>
                    <m:func>
                      <m:funcPr>
                        <m:ctrlPr>
                          <w:rPr>
                            <w:rFonts w:ascii="Cambria Math" w:eastAsiaTheme="minorEastAsia" w:hAnsi="Cambria Math" w:cs="Times New Roman"/>
                            <w:sz w:val="24"/>
                            <w:szCs w:val="24"/>
                            <w:lang w:val="en-GB" w:eastAsia="de-DE"/>
                          </w:rPr>
                        </m:ctrlPr>
                      </m:funcPr>
                      <m:fName>
                        <m:limLow>
                          <m:limLowPr>
                            <m:ctrlPr>
                              <w:rPr>
                                <w:rFonts w:ascii="Cambria Math" w:eastAsiaTheme="minorEastAsia" w:hAnsi="Cambria Math" w:cs="Times New Roman"/>
                                <w:sz w:val="24"/>
                                <w:szCs w:val="24"/>
                                <w:lang w:val="en-GB" w:eastAsia="de-DE"/>
                              </w:rPr>
                            </m:ctrlPr>
                          </m:limLowPr>
                          <m:e>
                            <m:r>
                              <m:rPr>
                                <m:sty m:val="p"/>
                              </m:rPr>
                              <w:rPr>
                                <w:rFonts w:ascii="Cambria Math" w:eastAsiaTheme="minorEastAsia" w:hAnsi="Cambria Math" w:cs="Times New Roman"/>
                                <w:sz w:val="24"/>
                                <w:szCs w:val="24"/>
                                <w:lang w:val="en-GB" w:eastAsia="de-DE"/>
                              </w:rPr>
                              <m:t>max</m:t>
                            </m:r>
                          </m:e>
                          <m:lim>
                            <m:r>
                              <w:rPr>
                                <w:rFonts w:ascii="Cambria Math" w:eastAsiaTheme="minorEastAsia" w:hAnsi="Cambria Math" w:cs="Times New Roman"/>
                                <w:sz w:val="24"/>
                                <w:szCs w:val="24"/>
                                <w:lang w:val="en-GB" w:eastAsia="de-DE"/>
                              </w:rPr>
                              <m:t>i</m:t>
                            </m:r>
                          </m:lim>
                        </m:limLow>
                      </m:fName>
                      <m:e>
                        <m:func>
                          <m:funcPr>
                            <m:ctrlPr>
                              <w:rPr>
                                <w:rFonts w:ascii="Cambria Math" w:eastAsiaTheme="minorEastAsia" w:hAnsi="Cambria Math" w:cs="Times New Roman"/>
                                <w:sz w:val="24"/>
                                <w:szCs w:val="24"/>
                                <w:lang w:val="en-GB" w:eastAsia="de-DE"/>
                              </w:rPr>
                            </m:ctrlPr>
                          </m:funcPr>
                          <m:fName>
                            <m:limLow>
                              <m:limLowPr>
                                <m:ctrlPr>
                                  <w:rPr>
                                    <w:rFonts w:ascii="Cambria Math" w:eastAsiaTheme="minorEastAsia" w:hAnsi="Cambria Math" w:cs="Times New Roman"/>
                                    <w:sz w:val="24"/>
                                    <w:szCs w:val="24"/>
                                    <w:lang w:val="en-GB" w:eastAsia="de-DE"/>
                                  </w:rPr>
                                </m:ctrlPr>
                              </m:limLowPr>
                              <m:e>
                                <m:r>
                                  <m:rPr>
                                    <m:sty m:val="p"/>
                                  </m:rPr>
                                  <w:rPr>
                                    <w:rFonts w:ascii="Cambria Math" w:eastAsiaTheme="minorEastAsia" w:hAnsi="Cambria Math" w:cs="Times New Roman"/>
                                    <w:sz w:val="24"/>
                                    <w:szCs w:val="24"/>
                                    <w:lang w:val="en-GB" w:eastAsia="de-DE"/>
                                  </w:rPr>
                                  <m:t>max</m:t>
                                </m:r>
                              </m:e>
                              <m:lim>
                                <m:r>
                                  <w:rPr>
                                    <w:rFonts w:ascii="Cambria Math" w:eastAsiaTheme="minorEastAsia" w:hAnsi="Cambria Math" w:cs="Times New Roman"/>
                                    <w:sz w:val="24"/>
                                    <w:szCs w:val="24"/>
                                    <w:lang w:val="en-GB" w:eastAsia="de-DE"/>
                                  </w:rPr>
                                  <m:t>k</m:t>
                                </m:r>
                              </m:lim>
                            </m:limLow>
                          </m:fName>
                          <m:e>
                            <m:d>
                              <m:dPr>
                                <m:begChr m:val="|"/>
                                <m:endChr m:val="|"/>
                                <m:ctrlPr>
                                  <w:rPr>
                                    <w:rFonts w:ascii="Cambria Math" w:eastAsiaTheme="minorEastAsia" w:hAnsi="Cambria Math" w:cs="Times New Roman"/>
                                    <w:sz w:val="24"/>
                                    <w:szCs w:val="24"/>
                                    <w:lang w:val="en-GB" w:eastAsia="de-DE"/>
                                  </w:rPr>
                                </m:ctrlPr>
                              </m:dPr>
                              <m:e>
                                <m:r>
                                  <w:rPr>
                                    <w:rFonts w:ascii="Cambria Math" w:eastAsiaTheme="minorEastAsia" w:hAnsi="Cambria Math" w:cs="Times New Roman"/>
                                    <w:sz w:val="24"/>
                                    <w:szCs w:val="24"/>
                                    <w:lang w:val="en-GB" w:eastAsia="de-DE"/>
                                  </w:rPr>
                                  <m:t>y</m:t>
                                </m:r>
                                <m:d>
                                  <m:dPr>
                                    <m:ctrlPr>
                                      <w:rPr>
                                        <w:rFonts w:ascii="Cambria Math" w:eastAsiaTheme="minorEastAsia" w:hAnsi="Cambria Math" w:cs="Times New Roman"/>
                                        <w:sz w:val="24"/>
                                        <w:szCs w:val="24"/>
                                        <w:lang w:val="en-GB" w:eastAsia="de-DE"/>
                                      </w:rPr>
                                    </m:ctrlPr>
                                  </m:dPr>
                                  <m:e>
                                    <m:r>
                                      <w:rPr>
                                        <w:rFonts w:ascii="Cambria Math" w:eastAsiaTheme="minorEastAsia" w:hAnsi="Cambria Math" w:cs="Times New Roman"/>
                                        <w:sz w:val="24"/>
                                        <w:szCs w:val="24"/>
                                        <w:lang w:val="en-GB" w:eastAsia="de-DE"/>
                                      </w:rPr>
                                      <m:t>k</m:t>
                                    </m:r>
                                  </m:e>
                                </m:d>
                                <m:r>
                                  <m:rPr>
                                    <m:sty m:val="p"/>
                                  </m:rPr>
                                  <w:rPr>
                                    <w:rFonts w:ascii="Cambria Math" w:eastAsiaTheme="minorEastAsia" w:hAnsi="Cambria Math" w:cs="Times New Roman"/>
                                    <w:sz w:val="24"/>
                                    <w:szCs w:val="24"/>
                                    <w:lang w:val="en-GB" w:eastAsia="de-DE"/>
                                  </w:rPr>
                                  <m:t>-</m:t>
                                </m:r>
                                <m:sSub>
                                  <m:sSubPr>
                                    <m:ctrlPr>
                                      <w:rPr>
                                        <w:rFonts w:ascii="Cambria Math" w:eastAsiaTheme="minorEastAsia" w:hAnsi="Cambria Math" w:cs="Times New Roman"/>
                                        <w:sz w:val="24"/>
                                        <w:szCs w:val="24"/>
                                        <w:lang w:val="en-GB" w:eastAsia="de-DE"/>
                                      </w:rPr>
                                    </m:ctrlPr>
                                  </m:sSubPr>
                                  <m:e>
                                    <m:r>
                                      <w:rPr>
                                        <w:rFonts w:ascii="Cambria Math" w:eastAsiaTheme="minorEastAsia" w:hAnsi="Cambria Math" w:cs="Times New Roman"/>
                                        <w:sz w:val="24"/>
                                        <w:szCs w:val="24"/>
                                        <w:lang w:val="en-GB" w:eastAsia="de-DE"/>
                                      </w:rPr>
                                      <m:t>x</m:t>
                                    </m:r>
                                  </m:e>
                                  <m:sub>
                                    <m:r>
                                      <w:rPr>
                                        <w:rFonts w:ascii="Cambria Math" w:eastAsiaTheme="minorEastAsia" w:hAnsi="Cambria Math" w:cs="Times New Roman"/>
                                        <w:sz w:val="24"/>
                                        <w:szCs w:val="24"/>
                                        <w:lang w:val="en-GB" w:eastAsia="de-DE"/>
                                      </w:rPr>
                                      <m:t>i</m:t>
                                    </m:r>
                                  </m:sub>
                                </m:sSub>
                                <m:r>
                                  <m:rPr>
                                    <m:sty m:val="p"/>
                                  </m:rPr>
                                  <w:rPr>
                                    <w:rFonts w:ascii="Cambria Math" w:eastAsiaTheme="minorEastAsia" w:hAnsi="Cambria Math" w:cs="Times New Roman"/>
                                    <w:sz w:val="24"/>
                                    <w:szCs w:val="24"/>
                                    <w:lang w:val="en-GB" w:eastAsia="de-DE"/>
                                  </w:rPr>
                                  <m:t>(</m:t>
                                </m:r>
                                <m:r>
                                  <w:rPr>
                                    <w:rFonts w:ascii="Cambria Math" w:eastAsiaTheme="minorEastAsia" w:hAnsi="Cambria Math" w:cs="Times New Roman"/>
                                    <w:sz w:val="24"/>
                                    <w:szCs w:val="24"/>
                                    <w:lang w:val="en-GB" w:eastAsia="de-DE"/>
                                  </w:rPr>
                                  <m:t>k</m:t>
                                </m:r>
                                <m:r>
                                  <m:rPr>
                                    <m:sty m:val="p"/>
                                  </m:rPr>
                                  <w:rPr>
                                    <w:rFonts w:ascii="Cambria Math" w:eastAsiaTheme="minorEastAsia" w:hAnsi="Cambria Math" w:cs="Times New Roman"/>
                                    <w:sz w:val="24"/>
                                    <w:szCs w:val="24"/>
                                    <w:lang w:val="en-GB" w:eastAsia="de-DE"/>
                                  </w:rPr>
                                  <m:t>)</m:t>
                                </m:r>
                              </m:e>
                            </m:d>
                          </m:e>
                        </m:func>
                      </m:e>
                    </m:func>
                  </m:e>
                </m:func>
              </m:e>
            </m:func>
          </m:num>
          <m:den>
            <m:d>
              <m:dPr>
                <m:begChr m:val="|"/>
                <m:endChr m:val="|"/>
                <m:ctrlPr>
                  <w:rPr>
                    <w:rFonts w:ascii="Cambria Math" w:eastAsiaTheme="minorEastAsia" w:hAnsi="Cambria Math" w:cs="Times New Roman"/>
                    <w:sz w:val="24"/>
                    <w:szCs w:val="24"/>
                    <w:lang w:val="en-GB" w:eastAsia="de-DE"/>
                  </w:rPr>
                </m:ctrlPr>
              </m:dPr>
              <m:e>
                <m:r>
                  <w:rPr>
                    <w:rFonts w:ascii="Cambria Math" w:eastAsiaTheme="minorEastAsia" w:hAnsi="Cambria Math" w:cs="Times New Roman"/>
                    <w:sz w:val="24"/>
                    <w:szCs w:val="24"/>
                    <w:lang w:val="en-GB" w:eastAsia="de-DE"/>
                  </w:rPr>
                  <m:t>y</m:t>
                </m:r>
                <m:d>
                  <m:dPr>
                    <m:ctrlPr>
                      <w:rPr>
                        <w:rFonts w:ascii="Cambria Math" w:eastAsiaTheme="minorEastAsia" w:hAnsi="Cambria Math" w:cs="Times New Roman"/>
                        <w:sz w:val="24"/>
                        <w:szCs w:val="24"/>
                        <w:lang w:val="en-GB" w:eastAsia="de-DE"/>
                      </w:rPr>
                    </m:ctrlPr>
                  </m:dPr>
                  <m:e>
                    <m:r>
                      <w:rPr>
                        <w:rFonts w:ascii="Cambria Math" w:eastAsiaTheme="minorEastAsia" w:hAnsi="Cambria Math" w:cs="Times New Roman"/>
                        <w:sz w:val="24"/>
                        <w:szCs w:val="24"/>
                        <w:lang w:val="en-GB" w:eastAsia="de-DE"/>
                      </w:rPr>
                      <m:t>k</m:t>
                    </m:r>
                  </m:e>
                </m:d>
                <m:r>
                  <m:rPr>
                    <m:sty m:val="p"/>
                  </m:rPr>
                  <w:rPr>
                    <w:rFonts w:ascii="Cambria Math" w:eastAsiaTheme="minorEastAsia" w:hAnsi="Cambria Math" w:cs="Times New Roman"/>
                    <w:sz w:val="24"/>
                    <w:szCs w:val="24"/>
                    <w:lang w:val="en-GB" w:eastAsia="de-DE"/>
                  </w:rPr>
                  <m:t>-</m:t>
                </m:r>
                <m:sSub>
                  <m:sSubPr>
                    <m:ctrlPr>
                      <w:rPr>
                        <w:rFonts w:ascii="Cambria Math" w:eastAsiaTheme="minorEastAsia" w:hAnsi="Cambria Math" w:cs="Times New Roman"/>
                        <w:sz w:val="24"/>
                        <w:szCs w:val="24"/>
                        <w:lang w:val="en-GB" w:eastAsia="de-DE"/>
                      </w:rPr>
                    </m:ctrlPr>
                  </m:sSubPr>
                  <m:e>
                    <m:r>
                      <w:rPr>
                        <w:rFonts w:ascii="Cambria Math" w:eastAsiaTheme="minorEastAsia" w:hAnsi="Cambria Math" w:cs="Times New Roman"/>
                        <w:sz w:val="24"/>
                        <w:szCs w:val="24"/>
                        <w:lang w:val="en-GB" w:eastAsia="de-DE"/>
                      </w:rPr>
                      <m:t>x</m:t>
                    </m:r>
                  </m:e>
                  <m:sub>
                    <m:r>
                      <w:rPr>
                        <w:rFonts w:ascii="Cambria Math" w:eastAsiaTheme="minorEastAsia" w:hAnsi="Cambria Math" w:cs="Times New Roman"/>
                        <w:sz w:val="24"/>
                        <w:szCs w:val="24"/>
                        <w:lang w:val="en-GB" w:eastAsia="de-DE"/>
                      </w:rPr>
                      <m:t>i</m:t>
                    </m:r>
                  </m:sub>
                </m:sSub>
                <m:r>
                  <m:rPr>
                    <m:sty m:val="p"/>
                  </m:rPr>
                  <w:rPr>
                    <w:rFonts w:ascii="Cambria Math" w:eastAsiaTheme="minorEastAsia" w:hAnsi="Cambria Math" w:cs="Times New Roman"/>
                    <w:sz w:val="24"/>
                    <w:szCs w:val="24"/>
                    <w:lang w:val="en-GB" w:eastAsia="de-DE"/>
                  </w:rPr>
                  <m:t>(</m:t>
                </m:r>
                <m:r>
                  <w:rPr>
                    <w:rFonts w:ascii="Cambria Math" w:eastAsiaTheme="minorEastAsia" w:hAnsi="Cambria Math" w:cs="Times New Roman"/>
                    <w:sz w:val="24"/>
                    <w:szCs w:val="24"/>
                    <w:lang w:val="en-GB" w:eastAsia="de-DE"/>
                  </w:rPr>
                  <m:t>k</m:t>
                </m:r>
                <m:r>
                  <m:rPr>
                    <m:sty m:val="p"/>
                  </m:rPr>
                  <w:rPr>
                    <w:rFonts w:ascii="Cambria Math" w:eastAsiaTheme="minorEastAsia" w:hAnsi="Cambria Math" w:cs="Times New Roman"/>
                    <w:sz w:val="24"/>
                    <w:szCs w:val="24"/>
                    <w:lang w:val="en-GB" w:eastAsia="de-DE"/>
                  </w:rPr>
                  <m:t>)</m:t>
                </m:r>
              </m:e>
            </m:d>
            <m:r>
              <m:rPr>
                <m:sty m:val="p"/>
              </m:rPr>
              <w:rPr>
                <w:rFonts w:ascii="Cambria Math" w:eastAsiaTheme="minorEastAsia" w:hAnsi="Cambria Math" w:cs="Times New Roman"/>
                <w:sz w:val="24"/>
                <w:szCs w:val="24"/>
                <w:lang w:val="en-GB" w:eastAsia="de-DE"/>
              </w:rPr>
              <m:t>+</m:t>
            </m:r>
            <m:r>
              <w:rPr>
                <w:rFonts w:ascii="Cambria Math" w:eastAsiaTheme="minorEastAsia" w:hAnsi="Cambria Math" w:cs="Times New Roman"/>
                <w:sz w:val="24"/>
                <w:szCs w:val="24"/>
                <w:lang w:val="en-GB" w:eastAsia="de-DE"/>
              </w:rPr>
              <m:t>ρ</m:t>
            </m:r>
            <m:func>
              <m:funcPr>
                <m:ctrlPr>
                  <w:rPr>
                    <w:rFonts w:ascii="Cambria Math" w:eastAsiaTheme="minorEastAsia" w:hAnsi="Cambria Math" w:cs="Times New Roman"/>
                    <w:sz w:val="24"/>
                    <w:szCs w:val="24"/>
                    <w:lang w:val="en-GB" w:eastAsia="de-DE"/>
                  </w:rPr>
                </m:ctrlPr>
              </m:funcPr>
              <m:fName>
                <m:limLow>
                  <m:limLowPr>
                    <m:ctrlPr>
                      <w:rPr>
                        <w:rFonts w:ascii="Cambria Math" w:eastAsiaTheme="minorEastAsia" w:hAnsi="Cambria Math" w:cs="Times New Roman"/>
                        <w:sz w:val="24"/>
                        <w:szCs w:val="24"/>
                        <w:lang w:val="en-GB" w:eastAsia="de-DE"/>
                      </w:rPr>
                    </m:ctrlPr>
                  </m:limLowPr>
                  <m:e>
                    <m:r>
                      <m:rPr>
                        <m:sty m:val="p"/>
                      </m:rPr>
                      <w:rPr>
                        <w:rFonts w:ascii="Cambria Math" w:eastAsiaTheme="minorEastAsia" w:hAnsi="Cambria Math" w:cs="Times New Roman"/>
                        <w:sz w:val="24"/>
                        <w:szCs w:val="24"/>
                        <w:lang w:val="en-GB" w:eastAsia="de-DE"/>
                      </w:rPr>
                      <m:t>max</m:t>
                    </m:r>
                  </m:e>
                  <m:lim>
                    <m:r>
                      <w:rPr>
                        <w:rFonts w:ascii="Cambria Math" w:eastAsiaTheme="minorEastAsia" w:hAnsi="Cambria Math" w:cs="Times New Roman"/>
                        <w:sz w:val="24"/>
                        <w:szCs w:val="24"/>
                        <w:lang w:val="en-GB" w:eastAsia="de-DE"/>
                      </w:rPr>
                      <m:t>i</m:t>
                    </m:r>
                  </m:lim>
                </m:limLow>
              </m:fName>
              <m:e>
                <m:func>
                  <m:funcPr>
                    <m:ctrlPr>
                      <w:rPr>
                        <w:rFonts w:ascii="Cambria Math" w:eastAsiaTheme="minorEastAsia" w:hAnsi="Cambria Math" w:cs="Times New Roman"/>
                        <w:sz w:val="24"/>
                        <w:szCs w:val="24"/>
                        <w:lang w:val="en-GB" w:eastAsia="de-DE"/>
                      </w:rPr>
                    </m:ctrlPr>
                  </m:funcPr>
                  <m:fName>
                    <m:limLow>
                      <m:limLowPr>
                        <m:ctrlPr>
                          <w:rPr>
                            <w:rFonts w:ascii="Cambria Math" w:eastAsiaTheme="minorEastAsia" w:hAnsi="Cambria Math" w:cs="Times New Roman"/>
                            <w:sz w:val="24"/>
                            <w:szCs w:val="24"/>
                            <w:lang w:val="en-GB" w:eastAsia="de-DE"/>
                          </w:rPr>
                        </m:ctrlPr>
                      </m:limLowPr>
                      <m:e>
                        <m:r>
                          <m:rPr>
                            <m:sty m:val="p"/>
                          </m:rPr>
                          <w:rPr>
                            <w:rFonts w:ascii="Cambria Math" w:eastAsiaTheme="minorEastAsia" w:hAnsi="Cambria Math" w:cs="Times New Roman"/>
                            <w:sz w:val="24"/>
                            <w:szCs w:val="24"/>
                            <w:lang w:val="en-GB" w:eastAsia="de-DE"/>
                          </w:rPr>
                          <m:t>max</m:t>
                        </m:r>
                      </m:e>
                      <m:lim>
                        <m:r>
                          <w:rPr>
                            <w:rFonts w:ascii="Cambria Math" w:eastAsiaTheme="minorEastAsia" w:hAnsi="Cambria Math" w:cs="Times New Roman"/>
                            <w:sz w:val="24"/>
                            <w:szCs w:val="24"/>
                            <w:lang w:val="en-GB" w:eastAsia="de-DE"/>
                          </w:rPr>
                          <m:t>k</m:t>
                        </m:r>
                      </m:lim>
                    </m:limLow>
                  </m:fName>
                  <m:e>
                    <m:d>
                      <m:dPr>
                        <m:begChr m:val="|"/>
                        <m:endChr m:val="|"/>
                        <m:ctrlPr>
                          <w:rPr>
                            <w:rFonts w:ascii="Cambria Math" w:eastAsiaTheme="minorEastAsia" w:hAnsi="Cambria Math" w:cs="Times New Roman"/>
                            <w:sz w:val="24"/>
                            <w:szCs w:val="24"/>
                            <w:lang w:val="en-GB" w:eastAsia="de-DE"/>
                          </w:rPr>
                        </m:ctrlPr>
                      </m:dPr>
                      <m:e>
                        <m:r>
                          <w:rPr>
                            <w:rFonts w:ascii="Cambria Math" w:eastAsiaTheme="minorEastAsia" w:hAnsi="Cambria Math" w:cs="Times New Roman"/>
                            <w:sz w:val="24"/>
                            <w:szCs w:val="24"/>
                            <w:lang w:val="en-GB" w:eastAsia="de-DE"/>
                          </w:rPr>
                          <m:t>y</m:t>
                        </m:r>
                        <m:d>
                          <m:dPr>
                            <m:ctrlPr>
                              <w:rPr>
                                <w:rFonts w:ascii="Cambria Math" w:eastAsiaTheme="minorEastAsia" w:hAnsi="Cambria Math" w:cs="Times New Roman"/>
                                <w:sz w:val="24"/>
                                <w:szCs w:val="24"/>
                                <w:lang w:val="en-GB" w:eastAsia="de-DE"/>
                              </w:rPr>
                            </m:ctrlPr>
                          </m:dPr>
                          <m:e>
                            <m:r>
                              <w:rPr>
                                <w:rFonts w:ascii="Cambria Math" w:eastAsiaTheme="minorEastAsia" w:hAnsi="Cambria Math" w:cs="Times New Roman"/>
                                <w:sz w:val="24"/>
                                <w:szCs w:val="24"/>
                                <w:lang w:val="en-GB" w:eastAsia="de-DE"/>
                              </w:rPr>
                              <m:t>k</m:t>
                            </m:r>
                          </m:e>
                        </m:d>
                        <m:r>
                          <m:rPr>
                            <m:sty m:val="p"/>
                          </m:rPr>
                          <w:rPr>
                            <w:rFonts w:ascii="Cambria Math" w:eastAsiaTheme="minorEastAsia" w:hAnsi="Cambria Math" w:cs="Times New Roman"/>
                            <w:sz w:val="24"/>
                            <w:szCs w:val="24"/>
                            <w:lang w:val="en-GB" w:eastAsia="de-DE"/>
                          </w:rPr>
                          <m:t>-</m:t>
                        </m:r>
                        <m:sSub>
                          <m:sSubPr>
                            <m:ctrlPr>
                              <w:rPr>
                                <w:rFonts w:ascii="Cambria Math" w:eastAsiaTheme="minorEastAsia" w:hAnsi="Cambria Math" w:cs="Times New Roman"/>
                                <w:sz w:val="24"/>
                                <w:szCs w:val="24"/>
                                <w:lang w:val="en-GB" w:eastAsia="de-DE"/>
                              </w:rPr>
                            </m:ctrlPr>
                          </m:sSubPr>
                          <m:e>
                            <m:r>
                              <w:rPr>
                                <w:rFonts w:ascii="Cambria Math" w:eastAsiaTheme="minorEastAsia" w:hAnsi="Cambria Math" w:cs="Times New Roman"/>
                                <w:sz w:val="24"/>
                                <w:szCs w:val="24"/>
                                <w:lang w:val="en-GB" w:eastAsia="de-DE"/>
                              </w:rPr>
                              <m:t>x</m:t>
                            </m:r>
                          </m:e>
                          <m:sub>
                            <m:r>
                              <w:rPr>
                                <w:rFonts w:ascii="Cambria Math" w:eastAsiaTheme="minorEastAsia" w:hAnsi="Cambria Math" w:cs="Times New Roman"/>
                                <w:sz w:val="24"/>
                                <w:szCs w:val="24"/>
                                <w:lang w:val="en-GB" w:eastAsia="de-DE"/>
                              </w:rPr>
                              <m:t>i</m:t>
                            </m:r>
                          </m:sub>
                        </m:sSub>
                        <m:r>
                          <m:rPr>
                            <m:sty m:val="p"/>
                          </m:rPr>
                          <w:rPr>
                            <w:rFonts w:ascii="Cambria Math" w:eastAsiaTheme="minorEastAsia" w:hAnsi="Cambria Math" w:cs="Times New Roman"/>
                            <w:sz w:val="24"/>
                            <w:szCs w:val="24"/>
                            <w:lang w:val="en-GB" w:eastAsia="de-DE"/>
                          </w:rPr>
                          <m:t>(</m:t>
                        </m:r>
                        <m:r>
                          <w:rPr>
                            <w:rFonts w:ascii="Cambria Math" w:eastAsiaTheme="minorEastAsia" w:hAnsi="Cambria Math" w:cs="Times New Roman"/>
                            <w:sz w:val="24"/>
                            <w:szCs w:val="24"/>
                            <w:lang w:val="en-GB" w:eastAsia="de-DE"/>
                          </w:rPr>
                          <m:t>k</m:t>
                        </m:r>
                        <m:r>
                          <m:rPr>
                            <m:sty m:val="p"/>
                          </m:rPr>
                          <w:rPr>
                            <w:rFonts w:ascii="Cambria Math" w:eastAsiaTheme="minorEastAsia" w:hAnsi="Cambria Math" w:cs="Times New Roman"/>
                            <w:sz w:val="24"/>
                            <w:szCs w:val="24"/>
                            <w:lang w:val="en-GB" w:eastAsia="de-DE"/>
                          </w:rPr>
                          <m:t>)</m:t>
                        </m:r>
                      </m:e>
                    </m:d>
                  </m:e>
                </m:func>
              </m:e>
            </m:func>
          </m:den>
        </m:f>
      </m:oMath>
      <w:r w:rsidR="00EA00B0" w:rsidRPr="00EA00B0">
        <w:rPr>
          <w:rFonts w:cs="Times New Roman"/>
          <w:sz w:val="24"/>
          <w:szCs w:val="24"/>
          <w:lang w:val="en-GB"/>
        </w:rPr>
        <w:t xml:space="preserve">                             (1)</w:t>
      </w:r>
    </w:p>
    <w:p w14:paraId="05091C3E" w14:textId="77777777" w:rsidR="00EA00B0" w:rsidRPr="00EA00B0" w:rsidRDefault="00F448B9" w:rsidP="00093D0E">
      <w:pPr>
        <w:rPr>
          <w:rFonts w:cs="Times New Roman"/>
          <w:kern w:val="0"/>
          <w:sz w:val="24"/>
          <w:szCs w:val="24"/>
          <w:lang w:val="en-GB"/>
        </w:rPr>
      </w:pPr>
      <m:oMath>
        <m:sSub>
          <m:sSubPr>
            <m:ctrlPr>
              <w:rPr>
                <w:rFonts w:ascii="Cambria Math" w:eastAsia="Times New Roman" w:hAnsi="Cambria Math" w:cs="Times New Roman"/>
                <w:i/>
                <w:kern w:val="0"/>
                <w:sz w:val="24"/>
                <w:szCs w:val="24"/>
                <w:lang w:val="en-GB" w:eastAsia="de-DE"/>
              </w:rPr>
            </m:ctrlPr>
          </m:sSubPr>
          <m:e>
            <m:r>
              <w:rPr>
                <w:rFonts w:ascii="Cambria Math" w:eastAsia="Times New Roman" w:hAnsi="Cambria Math" w:cs="Times New Roman"/>
                <w:kern w:val="0"/>
                <w:sz w:val="24"/>
                <w:szCs w:val="24"/>
                <w:lang w:val="en-GB" w:eastAsia="de-DE"/>
              </w:rPr>
              <m:t>GRD</m:t>
            </m:r>
          </m:e>
          <m:sub>
            <m:r>
              <w:rPr>
                <w:rFonts w:ascii="Cambria Math" w:eastAsia="Times New Roman" w:hAnsi="Cambria Math" w:cs="Times New Roman"/>
                <w:kern w:val="0"/>
                <w:sz w:val="24"/>
                <w:szCs w:val="24"/>
                <w:lang w:val="en-GB" w:eastAsia="de-DE"/>
              </w:rPr>
              <m:t>i</m:t>
            </m:r>
          </m:sub>
        </m:sSub>
        <m:r>
          <w:rPr>
            <w:rFonts w:ascii="Cambria Math" w:eastAsia="Times New Roman" w:hAnsi="Cambria Math" w:cs="Times New Roman"/>
            <w:kern w:val="0"/>
            <w:sz w:val="24"/>
            <w:szCs w:val="24"/>
            <w:lang w:val="en-GB" w:eastAsia="de-DE"/>
          </w:rPr>
          <m:t>=</m:t>
        </m:r>
        <m:f>
          <m:fPr>
            <m:ctrlPr>
              <w:rPr>
                <w:rFonts w:ascii="Cambria Math" w:eastAsia="Times New Roman" w:hAnsi="Cambria Math" w:cs="Times New Roman"/>
                <w:i/>
                <w:kern w:val="0"/>
                <w:sz w:val="24"/>
                <w:szCs w:val="24"/>
                <w:lang w:val="en-GB" w:eastAsia="de-DE"/>
              </w:rPr>
            </m:ctrlPr>
          </m:fPr>
          <m:num>
            <m:r>
              <w:rPr>
                <w:rFonts w:ascii="Cambria Math" w:eastAsia="Times New Roman" w:hAnsi="Cambria Math" w:cs="Times New Roman"/>
                <w:kern w:val="0"/>
                <w:sz w:val="24"/>
                <w:szCs w:val="24"/>
                <w:lang w:val="en-GB" w:eastAsia="de-DE"/>
              </w:rPr>
              <m:t>1</m:t>
            </m:r>
          </m:num>
          <m:den>
            <m:r>
              <w:rPr>
                <w:rFonts w:ascii="Cambria Math" w:eastAsia="Times New Roman" w:hAnsi="Cambria Math" w:cs="Times New Roman"/>
                <w:kern w:val="0"/>
                <w:sz w:val="24"/>
                <w:szCs w:val="24"/>
                <w:lang w:val="en-GB" w:eastAsia="de-DE"/>
              </w:rPr>
              <m:t>n</m:t>
            </m:r>
          </m:den>
        </m:f>
        <m:nary>
          <m:naryPr>
            <m:chr m:val="∑"/>
            <m:limLoc m:val="subSup"/>
            <m:ctrlPr>
              <w:rPr>
                <w:rFonts w:ascii="Cambria Math" w:eastAsia="Times New Roman" w:hAnsi="Cambria Math" w:cs="Times New Roman"/>
                <w:i/>
                <w:kern w:val="0"/>
                <w:sz w:val="24"/>
                <w:szCs w:val="24"/>
                <w:lang w:val="en-GB" w:eastAsia="de-DE"/>
              </w:rPr>
            </m:ctrlPr>
          </m:naryPr>
          <m:sub>
            <m:r>
              <w:rPr>
                <w:rFonts w:ascii="Cambria Math" w:eastAsia="Times New Roman" w:hAnsi="Cambria Math" w:cs="Times New Roman"/>
                <w:kern w:val="0"/>
                <w:sz w:val="24"/>
                <w:szCs w:val="24"/>
                <w:lang w:val="en-GB" w:eastAsia="de-DE"/>
              </w:rPr>
              <m:t>k=1</m:t>
            </m:r>
          </m:sub>
          <m:sup>
            <m:r>
              <w:rPr>
                <w:rFonts w:ascii="Cambria Math" w:eastAsia="Times New Roman" w:hAnsi="Cambria Math" w:cs="Times New Roman"/>
                <w:kern w:val="0"/>
                <w:sz w:val="24"/>
                <w:szCs w:val="24"/>
                <w:lang w:val="en-GB" w:eastAsia="de-DE"/>
              </w:rPr>
              <m:t>n</m:t>
            </m:r>
          </m:sup>
          <m:e>
            <m:sSub>
              <m:sSubPr>
                <m:ctrlPr>
                  <w:rPr>
                    <w:rFonts w:ascii="Cambria Math" w:eastAsia="Times New Roman" w:hAnsi="Cambria Math" w:cs="Times New Roman"/>
                    <w:i/>
                    <w:kern w:val="0"/>
                    <w:sz w:val="24"/>
                    <w:szCs w:val="24"/>
                    <w:lang w:val="en-GB" w:eastAsia="de-DE"/>
                  </w:rPr>
                </m:ctrlPr>
              </m:sSubPr>
              <m:e>
                <m:r>
                  <w:rPr>
                    <w:rFonts w:ascii="Cambria Math" w:eastAsia="Times New Roman" w:hAnsi="Cambria Math" w:cs="Times New Roman"/>
                    <w:kern w:val="0"/>
                    <w:sz w:val="24"/>
                    <w:szCs w:val="24"/>
                    <w:lang w:val="en-GB" w:eastAsia="de-DE"/>
                  </w:rPr>
                  <m:t>ξ</m:t>
                </m:r>
              </m:e>
              <m:sub>
                <m:r>
                  <w:rPr>
                    <w:rFonts w:ascii="Cambria Math" w:eastAsia="Times New Roman" w:hAnsi="Cambria Math" w:cs="Times New Roman"/>
                    <w:kern w:val="0"/>
                    <w:sz w:val="24"/>
                    <w:szCs w:val="24"/>
                    <w:lang w:val="en-GB" w:eastAsia="de-DE"/>
                  </w:rPr>
                  <m:t>i</m:t>
                </m:r>
              </m:sub>
            </m:sSub>
            <m:d>
              <m:dPr>
                <m:ctrlPr>
                  <w:rPr>
                    <w:rFonts w:ascii="Cambria Math" w:eastAsia="Times New Roman" w:hAnsi="Cambria Math" w:cs="Times New Roman"/>
                    <w:i/>
                    <w:kern w:val="0"/>
                    <w:sz w:val="24"/>
                    <w:szCs w:val="24"/>
                    <w:lang w:val="en-GB" w:eastAsia="de-DE"/>
                  </w:rPr>
                </m:ctrlPr>
              </m:dPr>
              <m:e>
                <m:r>
                  <w:rPr>
                    <w:rFonts w:ascii="Cambria Math" w:eastAsia="Times New Roman" w:hAnsi="Cambria Math" w:cs="Times New Roman"/>
                    <w:kern w:val="0"/>
                    <w:sz w:val="24"/>
                    <w:szCs w:val="24"/>
                    <w:lang w:val="en-GB" w:eastAsia="de-DE"/>
                  </w:rPr>
                  <m:t>k</m:t>
                </m:r>
              </m:e>
            </m:d>
            <m:r>
              <w:rPr>
                <w:rFonts w:ascii="Cambria Math" w:eastAsia="Times New Roman" w:hAnsi="Cambria Math" w:cs="Times New Roman"/>
                <w:kern w:val="0"/>
                <w:sz w:val="24"/>
                <w:szCs w:val="24"/>
                <w:lang w:val="en-GB" w:eastAsia="de-DE"/>
              </w:rPr>
              <m:t>,  k=1,2,…,n</m:t>
            </m:r>
          </m:e>
        </m:nary>
      </m:oMath>
      <w:r w:rsidR="00EA00B0" w:rsidRPr="00EA00B0">
        <w:rPr>
          <w:rFonts w:cs="Times New Roman"/>
          <w:kern w:val="0"/>
          <w:sz w:val="24"/>
          <w:szCs w:val="24"/>
          <w:lang w:val="en-GB"/>
        </w:rPr>
        <w:t xml:space="preserve">                                     (2)</w:t>
      </w:r>
    </w:p>
    <w:p w14:paraId="498D353D" w14:textId="77777777" w:rsidR="00EA00B0" w:rsidRDefault="00EA00B0" w:rsidP="00093D0E">
      <w:pPr>
        <w:rPr>
          <w:rFonts w:cs="Times New Roman"/>
          <w:sz w:val="24"/>
          <w:szCs w:val="24"/>
        </w:rPr>
      </w:pPr>
      <w:r w:rsidRPr="00EA00B0">
        <w:rPr>
          <w:rFonts w:eastAsia="Times New Roman" w:cs="Times New Roman"/>
          <w:kern w:val="0"/>
          <w:sz w:val="24"/>
          <w:szCs w:val="24"/>
          <w:lang w:val="en-GB" w:eastAsia="de-DE"/>
        </w:rPr>
        <w:t xml:space="preserve">In which </w:t>
      </w:r>
      <w:r w:rsidRPr="00EA00B0">
        <w:rPr>
          <w:rFonts w:eastAsia="Times New Roman" w:cs="Times New Roman"/>
          <w:i/>
          <w:iCs/>
          <w:kern w:val="0"/>
          <w:sz w:val="24"/>
          <w:szCs w:val="24"/>
          <w:lang w:val="en-GB" w:eastAsia="de-DE"/>
        </w:rPr>
        <w:t>y</w:t>
      </w:r>
      <w:r w:rsidRPr="00EA00B0">
        <w:rPr>
          <w:rFonts w:eastAsia="Times New Roman" w:cs="Times New Roman"/>
          <w:kern w:val="0"/>
          <w:sz w:val="24"/>
          <w:szCs w:val="24"/>
          <w:lang w:val="en-GB" w:eastAsia="de-DE"/>
        </w:rPr>
        <w:t xml:space="preserve"> is the reference sequence and </w:t>
      </w:r>
      <w:r w:rsidRPr="00EA00B0">
        <w:rPr>
          <w:rFonts w:eastAsia="Times New Roman" w:cs="Times New Roman"/>
          <w:i/>
          <w:iCs/>
          <w:kern w:val="0"/>
          <w:sz w:val="24"/>
          <w:szCs w:val="24"/>
          <w:lang w:val="en-GB" w:eastAsia="de-DE"/>
        </w:rPr>
        <w:t>x</w:t>
      </w:r>
      <w:r w:rsidRPr="00EA00B0">
        <w:rPr>
          <w:rFonts w:eastAsia="Times New Roman" w:cs="Times New Roman"/>
          <w:i/>
          <w:iCs/>
          <w:kern w:val="0"/>
          <w:sz w:val="24"/>
          <w:szCs w:val="24"/>
          <w:vertAlign w:val="subscript"/>
          <w:lang w:val="en-GB" w:eastAsia="de-DE"/>
        </w:rPr>
        <w:t>i</w:t>
      </w:r>
      <w:r w:rsidRPr="00EA00B0">
        <w:rPr>
          <w:rFonts w:eastAsia="Times New Roman" w:cs="Times New Roman"/>
          <w:kern w:val="0"/>
          <w:sz w:val="24"/>
          <w:szCs w:val="24"/>
          <w:lang w:val="en-GB" w:eastAsia="de-DE"/>
        </w:rPr>
        <w:t xml:space="preserve"> (</w:t>
      </w:r>
      <w:r w:rsidRPr="00EA00B0">
        <w:rPr>
          <w:rFonts w:eastAsia="Times New Roman" w:cs="Times New Roman"/>
          <w:i/>
          <w:iCs/>
          <w:kern w:val="0"/>
          <w:sz w:val="24"/>
          <w:szCs w:val="24"/>
          <w:lang w:val="en-GB" w:eastAsia="de-DE"/>
        </w:rPr>
        <w:t>i</w:t>
      </w:r>
      <w:r w:rsidRPr="00EA00B0">
        <w:rPr>
          <w:rFonts w:eastAsia="Times New Roman" w:cs="Times New Roman"/>
          <w:kern w:val="0"/>
          <w:sz w:val="24"/>
          <w:szCs w:val="24"/>
          <w:lang w:val="en-GB" w:eastAsia="de-DE"/>
        </w:rPr>
        <w:t xml:space="preserve">=1,2,3...) is the comparison sequences, </w:t>
      </w:r>
      <w:r w:rsidRPr="00EA00B0">
        <w:rPr>
          <w:rFonts w:eastAsia="Times New Roman" w:cs="Times New Roman"/>
          <w:i/>
          <w:iCs/>
          <w:kern w:val="0"/>
          <w:sz w:val="24"/>
          <w:szCs w:val="24"/>
          <w:lang w:val="en-GB" w:eastAsia="de-DE"/>
        </w:rPr>
        <w:t>ρ</w:t>
      </w:r>
      <w:r w:rsidRPr="00EA00B0">
        <w:rPr>
          <w:rFonts w:eastAsia="Times New Roman" w:cs="Times New Roman"/>
          <w:kern w:val="0"/>
          <w:sz w:val="24"/>
          <w:szCs w:val="24"/>
          <w:lang w:val="en-GB" w:eastAsia="de-DE"/>
        </w:rPr>
        <w:t xml:space="preserve"> is the distinguishing coefficient always set as 0.5, ξ the </w:t>
      </w:r>
      <w:r w:rsidRPr="00EA00B0">
        <w:rPr>
          <w:rFonts w:cs="Times New Roman"/>
          <w:kern w:val="0"/>
          <w:sz w:val="24"/>
          <w:szCs w:val="24"/>
          <w:lang w:val="en-GB" w:eastAsia="de-DE"/>
        </w:rPr>
        <w:t>g</w:t>
      </w:r>
      <w:r w:rsidRPr="00EA00B0">
        <w:rPr>
          <w:rFonts w:eastAsia="Times New Roman" w:cs="Times New Roman"/>
          <w:kern w:val="0"/>
          <w:sz w:val="24"/>
          <w:szCs w:val="24"/>
          <w:lang w:val="en-GB" w:eastAsia="de-DE"/>
        </w:rPr>
        <w:t xml:space="preserve">rey relational coefficients of individual sample of the series, and </w:t>
      </w:r>
      <w:r w:rsidRPr="00EA00B0">
        <w:rPr>
          <w:rFonts w:eastAsia="Times New Roman" w:cs="Times New Roman"/>
          <w:i/>
          <w:iCs/>
          <w:kern w:val="0"/>
          <w:sz w:val="24"/>
          <w:szCs w:val="24"/>
          <w:lang w:val="en-GB" w:eastAsia="de-DE"/>
        </w:rPr>
        <w:t>GRD</w:t>
      </w:r>
      <w:r w:rsidRPr="00EA00B0">
        <w:rPr>
          <w:rFonts w:eastAsia="Times New Roman" w:cs="Times New Roman"/>
          <w:i/>
          <w:iCs/>
          <w:kern w:val="0"/>
          <w:sz w:val="24"/>
          <w:szCs w:val="24"/>
          <w:vertAlign w:val="subscript"/>
          <w:lang w:val="en-GB" w:eastAsia="de-DE"/>
        </w:rPr>
        <w:t>i</w:t>
      </w:r>
      <w:r w:rsidRPr="00EA00B0">
        <w:rPr>
          <w:rFonts w:eastAsia="Times New Roman" w:cs="Times New Roman"/>
          <w:kern w:val="0"/>
          <w:sz w:val="24"/>
          <w:szCs w:val="24"/>
          <w:lang w:val="en-GB" w:eastAsia="de-DE"/>
        </w:rPr>
        <w:t xml:space="preserve"> is the </w:t>
      </w:r>
      <w:r w:rsidRPr="00EA00B0">
        <w:rPr>
          <w:rFonts w:cs="Times New Roman"/>
          <w:kern w:val="0"/>
          <w:sz w:val="24"/>
          <w:szCs w:val="24"/>
          <w:lang w:val="en-GB" w:eastAsia="de-DE"/>
        </w:rPr>
        <w:t>g</w:t>
      </w:r>
      <w:r w:rsidRPr="00EA00B0">
        <w:rPr>
          <w:rFonts w:eastAsia="Times New Roman" w:cs="Times New Roman"/>
          <w:kern w:val="0"/>
          <w:sz w:val="24"/>
          <w:szCs w:val="24"/>
          <w:lang w:val="en-GB" w:eastAsia="de-DE"/>
        </w:rPr>
        <w:t xml:space="preserve">rey relational degree calculated by the average of </w:t>
      </w:r>
      <w:r w:rsidRPr="00EA00B0">
        <w:rPr>
          <w:rFonts w:eastAsia="Times New Roman" w:cs="Times New Roman"/>
          <w:i/>
          <w:iCs/>
          <w:kern w:val="0"/>
          <w:sz w:val="24"/>
          <w:szCs w:val="24"/>
          <w:lang w:val="en-GB" w:eastAsia="de-DE"/>
        </w:rPr>
        <w:t>ξ</w:t>
      </w:r>
      <w:r w:rsidRPr="00EA00B0">
        <w:rPr>
          <w:rFonts w:eastAsia="Times New Roman" w:cs="Times New Roman"/>
          <w:i/>
          <w:iCs/>
          <w:kern w:val="0"/>
          <w:sz w:val="24"/>
          <w:szCs w:val="24"/>
          <w:vertAlign w:val="subscript"/>
          <w:lang w:val="en-GB" w:eastAsia="de-DE"/>
        </w:rPr>
        <w:t>i</w:t>
      </w:r>
      <w:r w:rsidRPr="00EA00B0">
        <w:rPr>
          <w:rFonts w:eastAsia="Times New Roman" w:cs="Times New Roman"/>
          <w:kern w:val="0"/>
          <w:sz w:val="24"/>
          <w:szCs w:val="24"/>
          <w:lang w:val="en-GB" w:eastAsia="de-DE"/>
        </w:rPr>
        <w:t xml:space="preserve"> </w:t>
      </w:r>
      <w:r w:rsidRPr="00EA00B0">
        <w:rPr>
          <w:rFonts w:eastAsia="Times New Roman" w:cs="Times New Roman"/>
          <w:noProof/>
          <w:kern w:val="0"/>
          <w:sz w:val="24"/>
          <w:szCs w:val="24"/>
          <w:lang w:val="en-GB" w:eastAsia="de-DE"/>
        </w:rPr>
        <w:t>(Qiu et al. 2012)</w:t>
      </w:r>
      <w:r w:rsidRPr="00EA00B0">
        <w:rPr>
          <w:rFonts w:eastAsia="Times New Roman" w:cs="Times New Roman"/>
          <w:kern w:val="0"/>
          <w:sz w:val="24"/>
          <w:szCs w:val="24"/>
          <w:lang w:val="en-GB" w:eastAsia="de-DE"/>
        </w:rPr>
        <w:t>.</w:t>
      </w:r>
      <w:r>
        <w:rPr>
          <w:rFonts w:cs="Times New Roman"/>
          <w:sz w:val="24"/>
          <w:szCs w:val="24"/>
        </w:rPr>
        <w:t>”</w:t>
      </w:r>
    </w:p>
    <w:p w14:paraId="49404046" w14:textId="77777777" w:rsidR="00EA00B0" w:rsidRPr="006E1E8C" w:rsidRDefault="00EA00B0" w:rsidP="00093D0E">
      <w:pPr>
        <w:rPr>
          <w:rFonts w:cs="Times New Roman"/>
          <w:sz w:val="24"/>
          <w:szCs w:val="24"/>
        </w:rPr>
      </w:pPr>
    </w:p>
    <w:p w14:paraId="40EE9279" w14:textId="77777777" w:rsidR="00992EB4" w:rsidRPr="006E1E8C" w:rsidRDefault="0061364C" w:rsidP="00093D0E">
      <w:pPr>
        <w:rPr>
          <w:rFonts w:cs="Times New Roman"/>
          <w:kern w:val="0"/>
          <w:sz w:val="24"/>
          <w:szCs w:val="24"/>
        </w:rPr>
      </w:pPr>
      <w:r>
        <w:rPr>
          <w:rFonts w:cs="Times New Roman"/>
          <w:b/>
          <w:bCs/>
          <w:kern w:val="0"/>
          <w:sz w:val="24"/>
          <w:szCs w:val="24"/>
        </w:rPr>
        <w:t xml:space="preserve">3. </w:t>
      </w:r>
      <w:r w:rsidR="00D810F7" w:rsidRPr="00EA00B0">
        <w:rPr>
          <w:rFonts w:cs="Times New Roman"/>
          <w:b/>
          <w:bCs/>
          <w:kern w:val="0"/>
          <w:sz w:val="24"/>
          <w:szCs w:val="24"/>
        </w:rPr>
        <w:t xml:space="preserve">Lines 166-167: </w:t>
      </w:r>
      <w:r w:rsidR="00D810F7" w:rsidRPr="006E1E8C">
        <w:rPr>
          <w:rFonts w:cs="Times New Roman"/>
          <w:kern w:val="0"/>
          <w:sz w:val="24"/>
          <w:szCs w:val="24"/>
        </w:rPr>
        <w:t>The authors state that other researchers also verified a bimodal distribution for the organic matter in other locations within the same region of this study. Firstly, it would be important to clarify whether this bimodal distribution followed the same size distribution as that reported in this study for the summer samples. Secondly, the authors should be aware that the concept of “organic matter” is different from the concept of “WSOC”, because in the former you must consider the contribution of atoms (e.g., H, N, S and O) other than carbon to this fraction. This is why it is common to use an aerosol organic mass-to-organic carbon ratio (OM/ OC) to assess the content of organic matter in the air particles in order to achieve a mass closure. Even though it was not possible to estimate the OM/OC ratio in this specific study, it would be interesting to assess whether the organic matter also follows a similar bimodal distribution (see, for example, the work of Li et al. (2020), Science of The Total Environment, 703, 134937, https://doi.org/10.1016/j.scitotenv.2019.134937, for OM/OC ratios for primary and secondary organic aerosols).</w:t>
      </w:r>
    </w:p>
    <w:p w14:paraId="1B760C05" w14:textId="77777777" w:rsidR="00D810F7" w:rsidRPr="006E1E8C" w:rsidRDefault="00D810F7" w:rsidP="00093D0E">
      <w:pPr>
        <w:rPr>
          <w:rFonts w:cs="Times New Roman"/>
          <w:kern w:val="0"/>
          <w:sz w:val="24"/>
          <w:szCs w:val="24"/>
        </w:rPr>
      </w:pPr>
    </w:p>
    <w:p w14:paraId="1AB7CA0D" w14:textId="77777777" w:rsidR="003618CB" w:rsidRDefault="003618CB" w:rsidP="00093D0E">
      <w:pPr>
        <w:rPr>
          <w:rFonts w:cs="Times New Roman"/>
          <w:kern w:val="0"/>
          <w:sz w:val="24"/>
          <w:szCs w:val="24"/>
        </w:rPr>
      </w:pPr>
      <w:r w:rsidRPr="003618CB">
        <w:rPr>
          <w:rFonts w:cs="Times New Roman"/>
          <w:b/>
          <w:bCs/>
          <w:kern w:val="0"/>
          <w:sz w:val="24"/>
          <w:szCs w:val="24"/>
        </w:rPr>
        <w:t xml:space="preserve">Thank you for your advice. </w:t>
      </w:r>
      <w:r w:rsidRPr="003618CB">
        <w:rPr>
          <w:rFonts w:cs="Times New Roman"/>
          <w:kern w:val="0"/>
          <w:sz w:val="24"/>
          <w:szCs w:val="24"/>
        </w:rPr>
        <w:t xml:space="preserve">We are sorry for </w:t>
      </w:r>
      <w:r>
        <w:rPr>
          <w:rFonts w:cs="Times New Roman"/>
          <w:kern w:val="0"/>
          <w:sz w:val="24"/>
          <w:szCs w:val="24"/>
        </w:rPr>
        <w:t xml:space="preserve">the neglections here. Firstly, we have </w:t>
      </w:r>
      <w:r>
        <w:rPr>
          <w:rFonts w:cs="Times New Roman"/>
          <w:kern w:val="0"/>
          <w:sz w:val="24"/>
          <w:szCs w:val="24"/>
        </w:rPr>
        <w:lastRenderedPageBreak/>
        <w:t>added the peaks of recorded bimodal distributions in former research. Secondly, after carefully reading the differences between “WSOC” and “organic matter”, we realize that it is inappropriate to using “organic matter” in line 167, and replace it with “WSOC”, besides in the reference articles they are size distributions of WSOC, as well. The sentence is now read as,</w:t>
      </w:r>
    </w:p>
    <w:p w14:paraId="17CF0AF9" w14:textId="77777777" w:rsidR="003618CB" w:rsidRPr="003618CB" w:rsidRDefault="003618CB" w:rsidP="00093D0E">
      <w:pPr>
        <w:rPr>
          <w:rFonts w:cs="Times New Roman"/>
          <w:kern w:val="0"/>
          <w:sz w:val="24"/>
          <w:szCs w:val="24"/>
        </w:rPr>
      </w:pPr>
      <w:r>
        <w:rPr>
          <w:rFonts w:cs="Times New Roman"/>
          <w:kern w:val="0"/>
          <w:sz w:val="24"/>
          <w:szCs w:val="24"/>
        </w:rPr>
        <w:t>“</w:t>
      </w:r>
      <w:r w:rsidRPr="003618CB">
        <w:rPr>
          <w:rFonts w:cs="Times New Roman"/>
          <w:kern w:val="0"/>
          <w:sz w:val="24"/>
          <w:szCs w:val="24"/>
          <w:lang w:val="en-GB"/>
        </w:rPr>
        <w:t>Contemporary researchers observed bimodal distribution of WSOC with the</w:t>
      </w:r>
      <w:r>
        <w:rPr>
          <w:rFonts w:cs="Times New Roman"/>
          <w:kern w:val="0"/>
          <w:sz w:val="24"/>
          <w:szCs w:val="24"/>
          <w:lang w:val="en-GB"/>
        </w:rPr>
        <w:t>ir</w:t>
      </w:r>
      <w:r w:rsidRPr="003618CB">
        <w:rPr>
          <w:rFonts w:cs="Times New Roman"/>
          <w:kern w:val="0"/>
          <w:sz w:val="24"/>
          <w:szCs w:val="24"/>
          <w:lang w:val="en-GB"/>
        </w:rPr>
        <w:t xml:space="preserve"> two peaks loc</w:t>
      </w:r>
      <w:r>
        <w:rPr>
          <w:rFonts w:cs="Times New Roman"/>
          <w:kern w:val="0"/>
          <w:sz w:val="24"/>
          <w:szCs w:val="24"/>
          <w:lang w:val="en-GB"/>
        </w:rPr>
        <w:t>a</w:t>
      </w:r>
      <w:r w:rsidRPr="003618CB">
        <w:rPr>
          <w:rFonts w:cs="Times New Roman"/>
          <w:kern w:val="0"/>
          <w:sz w:val="24"/>
          <w:szCs w:val="24"/>
          <w:lang w:val="en-GB"/>
        </w:rPr>
        <w:t>ted at 0.8 µm and 7µm, respectively, in Shenzhen, China, and 0.4-0.5 µm and 2-3 µm in Gwangju, Korea (Yu et al., 2016; Huang et al., 2020).</w:t>
      </w:r>
      <w:r>
        <w:rPr>
          <w:rFonts w:cs="Times New Roman"/>
          <w:kern w:val="0"/>
          <w:sz w:val="24"/>
          <w:szCs w:val="24"/>
        </w:rPr>
        <w:t>”</w:t>
      </w:r>
    </w:p>
    <w:p w14:paraId="7CE4B969" w14:textId="77777777" w:rsidR="00D810F7" w:rsidRPr="006E1E8C" w:rsidRDefault="00D810F7" w:rsidP="00093D0E">
      <w:pPr>
        <w:rPr>
          <w:rFonts w:cs="Times New Roman"/>
          <w:kern w:val="0"/>
          <w:sz w:val="24"/>
          <w:szCs w:val="24"/>
        </w:rPr>
      </w:pPr>
    </w:p>
    <w:p w14:paraId="6DA9F1DE" w14:textId="77777777" w:rsidR="00D810F7" w:rsidRDefault="0061364C" w:rsidP="00093D0E">
      <w:pPr>
        <w:widowControl/>
        <w:spacing w:after="100" w:afterAutospacing="1"/>
        <w:rPr>
          <w:rFonts w:cs="Times New Roman"/>
          <w:kern w:val="0"/>
          <w:sz w:val="24"/>
          <w:szCs w:val="24"/>
        </w:rPr>
      </w:pPr>
      <w:r>
        <w:rPr>
          <w:rFonts w:cs="Times New Roman"/>
          <w:b/>
          <w:bCs/>
          <w:kern w:val="0"/>
          <w:sz w:val="24"/>
          <w:szCs w:val="24"/>
        </w:rPr>
        <w:t xml:space="preserve">4. </w:t>
      </w:r>
      <w:r w:rsidR="00D810F7" w:rsidRPr="00EA00B0">
        <w:rPr>
          <w:rFonts w:cs="Times New Roman"/>
          <w:b/>
          <w:bCs/>
          <w:kern w:val="0"/>
          <w:sz w:val="24"/>
          <w:szCs w:val="24"/>
        </w:rPr>
        <w:t xml:space="preserve">Line 168: </w:t>
      </w:r>
      <w:r w:rsidR="00D810F7" w:rsidRPr="006E1E8C">
        <w:rPr>
          <w:rFonts w:cs="Times New Roman"/>
          <w:kern w:val="0"/>
          <w:sz w:val="24"/>
          <w:szCs w:val="24"/>
        </w:rPr>
        <w:t>Is it possible to include some explanations for the fact that the WSOC/OC ratios are higher in winter than in summer. Could this difference be associated to the prevalence of biomass burning emissions in winter?</w:t>
      </w:r>
    </w:p>
    <w:p w14:paraId="2BB0D440" w14:textId="77777777" w:rsidR="003618CB" w:rsidRPr="003618CB" w:rsidRDefault="003618CB" w:rsidP="00093D0E">
      <w:pPr>
        <w:widowControl/>
        <w:spacing w:after="100" w:afterAutospacing="1"/>
        <w:rPr>
          <w:rFonts w:cs="Times New Roman"/>
          <w:kern w:val="0"/>
          <w:sz w:val="24"/>
          <w:szCs w:val="24"/>
          <w:lang w:val="en-GB"/>
        </w:rPr>
      </w:pPr>
      <w:r w:rsidRPr="003618CB">
        <w:rPr>
          <w:rFonts w:cs="Times New Roman"/>
          <w:b/>
          <w:bCs/>
          <w:kern w:val="0"/>
          <w:sz w:val="24"/>
          <w:szCs w:val="24"/>
        </w:rPr>
        <w:t xml:space="preserve">Thank you for your advice. </w:t>
      </w:r>
      <w:r w:rsidRPr="003618CB">
        <w:rPr>
          <w:rFonts w:cs="Times New Roman"/>
          <w:kern w:val="0"/>
          <w:sz w:val="24"/>
          <w:szCs w:val="24"/>
        </w:rPr>
        <w:t xml:space="preserve">We </w:t>
      </w:r>
      <w:r>
        <w:rPr>
          <w:rFonts w:cs="Times New Roman"/>
          <w:kern w:val="0"/>
          <w:sz w:val="24"/>
          <w:szCs w:val="24"/>
        </w:rPr>
        <w:t xml:space="preserve">add some comparisons of the WSOC/OC in peer works and find that it is hard to conclude why are the WSOC/OC ratios higher in winter than that in summer. but a research on the seasonal variations of WSOC in </w:t>
      </w:r>
      <w:r w:rsidRPr="003618CB">
        <w:rPr>
          <w:rFonts w:cs="Times New Roman"/>
          <w:kern w:val="0"/>
          <w:sz w:val="24"/>
          <w:szCs w:val="24"/>
          <w:lang w:val="en-GB"/>
        </w:rPr>
        <w:t>Georgia, US</w:t>
      </w:r>
      <w:r>
        <w:rPr>
          <w:rFonts w:cs="Times New Roman"/>
          <w:kern w:val="0"/>
          <w:sz w:val="24"/>
          <w:szCs w:val="24"/>
          <w:lang w:val="en-GB"/>
        </w:rPr>
        <w:t xml:space="preserve"> report that the </w:t>
      </w:r>
      <w:r w:rsidRPr="003618CB">
        <w:rPr>
          <w:rFonts w:cs="Times New Roman"/>
          <w:kern w:val="0"/>
          <w:sz w:val="24"/>
          <w:szCs w:val="24"/>
          <w:lang w:val="en-GB"/>
        </w:rPr>
        <w:t>in the rural sites</w:t>
      </w:r>
      <w:r>
        <w:rPr>
          <w:rFonts w:cs="Times New Roman"/>
          <w:kern w:val="0"/>
          <w:sz w:val="24"/>
          <w:szCs w:val="24"/>
          <w:lang w:val="en-GB"/>
        </w:rPr>
        <w:t xml:space="preserve"> </w:t>
      </w:r>
      <w:r w:rsidRPr="003618CB">
        <w:rPr>
          <w:rFonts w:cs="Times New Roman"/>
          <w:kern w:val="0"/>
          <w:sz w:val="24"/>
          <w:szCs w:val="24"/>
          <w:lang w:val="en-GB"/>
        </w:rPr>
        <w:t>non-biomass burning WSOC/OC ratios</w:t>
      </w:r>
      <w:r>
        <w:rPr>
          <w:rFonts w:cs="Times New Roman"/>
          <w:kern w:val="0"/>
          <w:sz w:val="24"/>
          <w:szCs w:val="24"/>
          <w:lang w:val="en-GB"/>
        </w:rPr>
        <w:t xml:space="preserve"> are higher in winter than that in summer, which is accordant with our present </w:t>
      </w:r>
      <w:r w:rsidRPr="003618CB">
        <w:rPr>
          <w:rFonts w:cs="Times New Roman"/>
          <w:kern w:val="0"/>
          <w:sz w:val="24"/>
          <w:szCs w:val="24"/>
          <w:lang w:val="en-GB"/>
        </w:rPr>
        <w:t xml:space="preserve">research. </w:t>
      </w:r>
    </w:p>
    <w:p w14:paraId="39CB65CE" w14:textId="77777777" w:rsidR="003618CB" w:rsidRPr="003618CB" w:rsidRDefault="003618CB" w:rsidP="00093D0E">
      <w:pPr>
        <w:ind w:firstLineChars="100" w:firstLine="240"/>
        <w:rPr>
          <w:rFonts w:cs="Times New Roman"/>
          <w:kern w:val="0"/>
          <w:sz w:val="24"/>
          <w:szCs w:val="24"/>
          <w:lang w:val="en-GB"/>
        </w:rPr>
      </w:pPr>
      <w:r w:rsidRPr="003618CB">
        <w:rPr>
          <w:rFonts w:cs="Times New Roman"/>
          <w:kern w:val="0"/>
          <w:sz w:val="24"/>
          <w:szCs w:val="24"/>
          <w:lang w:val="en-GB"/>
        </w:rPr>
        <w:t>“</w:t>
      </w:r>
      <w:r w:rsidRPr="003618CB">
        <w:rPr>
          <w:rFonts w:cs="Times New Roman"/>
          <w:kern w:val="0"/>
          <w:sz w:val="24"/>
          <w:szCs w:val="24"/>
          <w:lang w:val="en-GB" w:eastAsia="de-DE"/>
        </w:rPr>
        <w:t xml:space="preserve">The </w:t>
      </w:r>
      <w:bookmarkStart w:id="0" w:name="OLE_LINK9"/>
      <w:r w:rsidRPr="003618CB">
        <w:rPr>
          <w:rFonts w:cs="Times New Roman"/>
          <w:kern w:val="0"/>
          <w:sz w:val="24"/>
          <w:szCs w:val="24"/>
          <w:lang w:val="en-GB" w:eastAsia="de-DE"/>
        </w:rPr>
        <w:t>WSOC/OC ratios</w:t>
      </w:r>
      <w:bookmarkEnd w:id="0"/>
      <w:r w:rsidRPr="003618CB">
        <w:rPr>
          <w:rFonts w:cs="Times New Roman"/>
          <w:kern w:val="0"/>
          <w:sz w:val="24"/>
          <w:szCs w:val="24"/>
          <w:lang w:val="en-GB" w:eastAsia="de-DE"/>
        </w:rPr>
        <w:t xml:space="preserve"> were 0.24 to 0.56 in winter and 0.16 to 0.31 in summer, which was lower than the previous records of the polluted period in Beijing, and they were also lower than those of other cities in China </w:t>
      </w:r>
      <w:r w:rsidRPr="003618CB">
        <w:rPr>
          <w:rFonts w:cs="Times New Roman"/>
          <w:noProof/>
          <w:kern w:val="0"/>
          <w:sz w:val="24"/>
          <w:szCs w:val="24"/>
          <w:lang w:val="en-GB" w:eastAsia="de-DE"/>
        </w:rPr>
        <w:t>(Tian et al., 2014; Wu et al., 2020)</w:t>
      </w:r>
      <w:r w:rsidRPr="003618CB">
        <w:rPr>
          <w:rFonts w:cs="Times New Roman"/>
          <w:kern w:val="0"/>
          <w:sz w:val="24"/>
          <w:szCs w:val="24"/>
          <w:lang w:val="en-GB" w:eastAsia="de-DE"/>
        </w:rPr>
        <w:t xml:space="preserve">. Whereas former studied </w:t>
      </w:r>
      <w:r w:rsidRPr="003618CB">
        <w:rPr>
          <w:rFonts w:cs="Times New Roman" w:hint="eastAsia"/>
          <w:kern w:val="0"/>
          <w:sz w:val="24"/>
          <w:szCs w:val="24"/>
          <w:lang w:val="en-GB"/>
        </w:rPr>
        <w:t>proved</w:t>
      </w:r>
      <w:r w:rsidRPr="003618CB">
        <w:rPr>
          <w:rFonts w:cs="Times New Roman"/>
          <w:kern w:val="0"/>
          <w:sz w:val="24"/>
          <w:szCs w:val="24"/>
          <w:lang w:val="en-GB" w:eastAsia="de-DE"/>
        </w:rPr>
        <w:t xml:space="preserve"> that the WSOC/OC ratios tended to </w:t>
      </w:r>
      <w:r w:rsidRPr="003618CB">
        <w:rPr>
          <w:rFonts w:cs="Times New Roman" w:hint="eastAsia"/>
          <w:kern w:val="0"/>
          <w:sz w:val="24"/>
          <w:szCs w:val="24"/>
          <w:lang w:val="en-GB"/>
        </w:rPr>
        <w:t xml:space="preserve">be </w:t>
      </w:r>
      <w:r w:rsidRPr="003618CB">
        <w:rPr>
          <w:rFonts w:cs="Times New Roman"/>
          <w:kern w:val="0"/>
          <w:sz w:val="24"/>
          <w:szCs w:val="24"/>
          <w:lang w:val="en-GB" w:eastAsia="de-DE"/>
        </w:rPr>
        <w:t>higher in summer than that in winter (Xiang et al., 2017; Qin et al., 2018). Zhang et al., (2012) found similar seasonality of the non-biomass burning WSOC/OC ratios in the urban sites of Georgia, US, but in the rural sites reversed results were detected, which might explain the low WSOC/OC ratios of summer samples in this research. The WSOC/OC ratios were high in fine particles with aerodynamic diameters lower than 1.4 µm and were low in coarse mode (PM</w:t>
      </w:r>
      <w:r w:rsidRPr="003618CB">
        <w:rPr>
          <w:rFonts w:cs="Times New Roman"/>
          <w:kern w:val="0"/>
          <w:sz w:val="24"/>
          <w:szCs w:val="24"/>
          <w:vertAlign w:val="subscript"/>
          <w:lang w:val="en-GB" w:eastAsia="de-DE"/>
        </w:rPr>
        <w:t>2.5-10</w:t>
      </w:r>
      <w:r w:rsidRPr="003618CB">
        <w:rPr>
          <w:rFonts w:cs="Times New Roman"/>
          <w:kern w:val="0"/>
          <w:sz w:val="24"/>
          <w:szCs w:val="24"/>
          <w:lang w:val="en-GB" w:eastAsia="de-DE"/>
        </w:rPr>
        <w:t>), which was accordant with former research on clear days in Beijing (characteristic of organic pollution in the size-segregated aerosol Tian et al. (2016)’s results).</w:t>
      </w:r>
      <w:r w:rsidRPr="003618CB">
        <w:rPr>
          <w:rFonts w:cs="Times New Roman"/>
          <w:kern w:val="0"/>
          <w:sz w:val="24"/>
          <w:szCs w:val="24"/>
          <w:lang w:val="en-GB"/>
        </w:rPr>
        <w:t>”</w:t>
      </w:r>
    </w:p>
    <w:p w14:paraId="4B0D5F69" w14:textId="77777777" w:rsidR="003618CB" w:rsidRPr="003618CB" w:rsidRDefault="003618CB" w:rsidP="00093D0E">
      <w:pPr>
        <w:ind w:firstLineChars="100" w:firstLine="200"/>
        <w:rPr>
          <w:rFonts w:cs="Times New Roman"/>
          <w:kern w:val="0"/>
          <w:sz w:val="20"/>
          <w:szCs w:val="24"/>
          <w:lang w:val="en-GB" w:eastAsia="de-DE"/>
        </w:rPr>
      </w:pPr>
    </w:p>
    <w:p w14:paraId="5B12153C" w14:textId="77777777" w:rsidR="00D810F7" w:rsidRDefault="0061364C" w:rsidP="00093D0E">
      <w:pPr>
        <w:widowControl/>
        <w:spacing w:after="100" w:afterAutospacing="1"/>
        <w:rPr>
          <w:rFonts w:cs="Times New Roman"/>
          <w:kern w:val="0"/>
          <w:sz w:val="24"/>
          <w:szCs w:val="24"/>
        </w:rPr>
      </w:pPr>
      <w:r>
        <w:rPr>
          <w:rFonts w:cs="Times New Roman"/>
          <w:b/>
          <w:bCs/>
          <w:kern w:val="0"/>
          <w:sz w:val="24"/>
          <w:szCs w:val="24"/>
        </w:rPr>
        <w:t xml:space="preserve">5. </w:t>
      </w:r>
      <w:r w:rsidR="00D810F7" w:rsidRPr="00EA00B0">
        <w:rPr>
          <w:rFonts w:cs="Times New Roman"/>
          <w:b/>
          <w:bCs/>
          <w:kern w:val="0"/>
          <w:sz w:val="24"/>
          <w:szCs w:val="24"/>
        </w:rPr>
        <w:t xml:space="preserve">Lines 175-176: </w:t>
      </w:r>
      <w:r w:rsidR="00D810F7" w:rsidRPr="006E1E8C">
        <w:rPr>
          <w:rFonts w:cs="Times New Roman"/>
          <w:kern w:val="0"/>
          <w:sz w:val="24"/>
          <w:szCs w:val="24"/>
        </w:rPr>
        <w:t>The authors state that “The bulk fluorescence features of WSOC showed evident distinctions among fine particles and coarse mode particles on EEM spectra”. In this Reviewer’s opinion, these differences between the EEM spectra of fine and coarse mode particles are more evident in terms of the fluorescence intensity rather than in terms of different fluorescence peaks.</w:t>
      </w:r>
    </w:p>
    <w:p w14:paraId="5FC593AF" w14:textId="77777777" w:rsidR="00BF2A17" w:rsidRDefault="003618CB" w:rsidP="00093D0E">
      <w:pPr>
        <w:widowControl/>
        <w:spacing w:after="100" w:afterAutospacing="1"/>
        <w:rPr>
          <w:rFonts w:cs="Times New Roman"/>
          <w:kern w:val="0"/>
          <w:sz w:val="24"/>
          <w:szCs w:val="24"/>
        </w:rPr>
      </w:pPr>
      <w:r w:rsidRPr="003618CB">
        <w:rPr>
          <w:rFonts w:cs="Times New Roman"/>
          <w:b/>
          <w:bCs/>
          <w:kern w:val="0"/>
          <w:sz w:val="24"/>
          <w:szCs w:val="24"/>
        </w:rPr>
        <w:t xml:space="preserve">Thank you for your advice. </w:t>
      </w:r>
      <w:r w:rsidRPr="003618CB">
        <w:rPr>
          <w:rFonts w:cs="Times New Roman"/>
          <w:kern w:val="0"/>
          <w:sz w:val="24"/>
          <w:szCs w:val="24"/>
        </w:rPr>
        <w:t xml:space="preserve">We </w:t>
      </w:r>
      <w:r w:rsidR="00BF2A17">
        <w:rPr>
          <w:rFonts w:cs="Times New Roman"/>
          <w:kern w:val="0"/>
          <w:sz w:val="24"/>
          <w:szCs w:val="24"/>
        </w:rPr>
        <w:t>agree with the reviewer’s opinion that the fluorescence intensities exhibit more distinctions among fine particles and coarse mode particles than the fluorescence peaks, when firstly looking at the spectra. We tended to express that coarse mode particles had their characteristic EEM spectra, and it seems to cause confusion. So we discussed them in the later paragraph by FRI and modified the statements in line 175-176, they are now reading as follows,</w:t>
      </w:r>
    </w:p>
    <w:p w14:paraId="39BF8833" w14:textId="77777777" w:rsidR="003618CB" w:rsidRPr="006E1E8C" w:rsidRDefault="00BF2A17" w:rsidP="00093D0E">
      <w:pPr>
        <w:widowControl/>
        <w:spacing w:after="100" w:afterAutospacing="1"/>
        <w:rPr>
          <w:rFonts w:cs="Times New Roman"/>
          <w:kern w:val="0"/>
          <w:sz w:val="24"/>
          <w:szCs w:val="24"/>
        </w:rPr>
      </w:pPr>
      <w:r>
        <w:rPr>
          <w:rFonts w:cs="Times New Roman"/>
          <w:kern w:val="0"/>
          <w:sz w:val="24"/>
          <w:szCs w:val="24"/>
        </w:rPr>
        <w:lastRenderedPageBreak/>
        <w:t>“</w:t>
      </w:r>
      <w:r w:rsidRPr="00BF2A17">
        <w:rPr>
          <w:rFonts w:cs="Times New Roman"/>
          <w:kern w:val="0"/>
          <w:sz w:val="24"/>
          <w:szCs w:val="24"/>
          <w:lang w:val="en-GB"/>
        </w:rPr>
        <w:t>The overall fluorescence peaks of EEM were mainly produced among regions Ⅱ-Ⅴ and the peaks were peak A, peak T, and peak M, which could be categorized as humic-like, tyrosine-like, and oxygenated organic substances, respectively (Qin et al., 2018). The bulk fluorescence properties of WSOC showed both seasonal similarities and distinctions. The fluorophores exhibited increase first and decrease then tendency by having highest intensities in particle sizes between 0.26 to 0.44 µm among two seasons. Although the fluorescence peaks of WSOC were mainly produced at similar regions in winter and summer, their relative abundance were different, further quantitative analysis were taken in the later paragraph.</w:t>
      </w:r>
      <w:r>
        <w:rPr>
          <w:rFonts w:cs="Times New Roman"/>
          <w:kern w:val="0"/>
          <w:sz w:val="24"/>
          <w:szCs w:val="24"/>
        </w:rPr>
        <w:t>”</w:t>
      </w:r>
    </w:p>
    <w:p w14:paraId="03D8EE63" w14:textId="77777777" w:rsidR="00D810F7" w:rsidRPr="006E1E8C" w:rsidRDefault="0061364C" w:rsidP="00093D0E">
      <w:pPr>
        <w:widowControl/>
        <w:spacing w:after="100" w:afterAutospacing="1"/>
        <w:rPr>
          <w:rFonts w:cs="Times New Roman"/>
          <w:kern w:val="0"/>
          <w:sz w:val="24"/>
          <w:szCs w:val="24"/>
        </w:rPr>
      </w:pPr>
      <w:r>
        <w:rPr>
          <w:rFonts w:cs="Times New Roman"/>
          <w:b/>
          <w:bCs/>
          <w:kern w:val="0"/>
          <w:sz w:val="24"/>
          <w:szCs w:val="24"/>
        </w:rPr>
        <w:t xml:space="preserve">6. </w:t>
      </w:r>
      <w:r w:rsidR="00D810F7" w:rsidRPr="00EA00B0">
        <w:rPr>
          <w:rFonts w:cs="Times New Roman"/>
          <w:b/>
          <w:bCs/>
          <w:kern w:val="0"/>
          <w:sz w:val="24"/>
          <w:szCs w:val="24"/>
        </w:rPr>
        <w:t xml:space="preserve">Lines 197-199: </w:t>
      </w:r>
      <w:r w:rsidR="00D810F7" w:rsidRPr="006E1E8C">
        <w:rPr>
          <w:rFonts w:cs="Times New Roman"/>
          <w:kern w:val="0"/>
          <w:sz w:val="24"/>
          <w:szCs w:val="24"/>
        </w:rPr>
        <w:t>The authors state that “FRI â…¢ and FRI â…¤ (HULIS) were the most abundant two fluorophores rich in fine particles.” The authors are considering the total fluorescence intensity of these two regions? Figure 4 suggests that FRII is the most abundant fluorophore in fine particles for both summer and winter samples.</w:t>
      </w:r>
    </w:p>
    <w:p w14:paraId="343E07FC" w14:textId="77777777" w:rsidR="00D810F7" w:rsidRDefault="00D810F7" w:rsidP="00093D0E">
      <w:pPr>
        <w:widowControl/>
        <w:spacing w:after="100" w:afterAutospacing="1"/>
        <w:rPr>
          <w:rFonts w:cs="Times New Roman"/>
          <w:kern w:val="0"/>
          <w:sz w:val="24"/>
          <w:szCs w:val="24"/>
        </w:rPr>
      </w:pPr>
      <w:r w:rsidRPr="006E1E8C">
        <w:rPr>
          <w:rFonts w:cs="Times New Roman"/>
          <w:kern w:val="0"/>
          <w:sz w:val="24"/>
          <w:szCs w:val="24"/>
        </w:rPr>
        <w:t>Furthermore, the authors also state that “FRI â£ (microbial related species) peaked between 1.4 to 2.5 μm and showed little variations with particle size increase.” However, Figure 4 depicts different results: for the winter samples, FRIV accounts for 23% for particles between 0.26 and 2.5 μm, whereas for the summer samples, the lowest percentage of FRIV (15%) is reported for particles between 1.4 to 2.5 μm. The authors should correct these inconsistencies in their assessment of the results.</w:t>
      </w:r>
    </w:p>
    <w:p w14:paraId="4AC514FB" w14:textId="77777777" w:rsidR="00BF2A17" w:rsidRDefault="00BF2A17" w:rsidP="00093D0E">
      <w:pPr>
        <w:widowControl/>
        <w:spacing w:after="100" w:afterAutospacing="1"/>
        <w:rPr>
          <w:rFonts w:cs="Times New Roman"/>
          <w:kern w:val="0"/>
          <w:sz w:val="24"/>
          <w:szCs w:val="24"/>
        </w:rPr>
      </w:pPr>
      <w:r w:rsidRPr="00BF2A17">
        <w:rPr>
          <w:rFonts w:cs="Times New Roman"/>
          <w:b/>
          <w:bCs/>
          <w:kern w:val="0"/>
          <w:sz w:val="24"/>
          <w:szCs w:val="24"/>
        </w:rPr>
        <w:t xml:space="preserve">Thank you for your advice. </w:t>
      </w:r>
      <w:r w:rsidRPr="00BF2A17">
        <w:rPr>
          <w:rFonts w:cs="Times New Roman"/>
          <w:kern w:val="0"/>
          <w:sz w:val="24"/>
          <w:szCs w:val="24"/>
        </w:rPr>
        <w:t>W</w:t>
      </w:r>
      <w:r w:rsidR="003852C8">
        <w:rPr>
          <w:rFonts w:cs="Times New Roman"/>
          <w:kern w:val="0"/>
          <w:sz w:val="24"/>
          <w:szCs w:val="24"/>
        </w:rPr>
        <w:t xml:space="preserve">e are sorry for the </w:t>
      </w:r>
      <w:r w:rsidR="003852C8" w:rsidRPr="003852C8">
        <w:rPr>
          <w:rFonts w:cs="Times New Roman"/>
          <w:kern w:val="0"/>
          <w:sz w:val="24"/>
          <w:szCs w:val="24"/>
        </w:rPr>
        <w:t>inconsistencies</w:t>
      </w:r>
      <w:r w:rsidR="003852C8">
        <w:rPr>
          <w:rFonts w:cs="Times New Roman"/>
          <w:kern w:val="0"/>
          <w:sz w:val="24"/>
          <w:szCs w:val="24"/>
        </w:rPr>
        <w:t xml:space="preserve"> in lines 197-199. We have checked the FRI results in Figure 4 and </w:t>
      </w:r>
      <w:r w:rsidR="003852C8" w:rsidRPr="003852C8">
        <w:rPr>
          <w:rFonts w:cs="Times New Roman"/>
          <w:kern w:val="0"/>
          <w:sz w:val="24"/>
          <w:szCs w:val="24"/>
        </w:rPr>
        <w:t>rephrase</w:t>
      </w:r>
      <w:r w:rsidR="003852C8">
        <w:rPr>
          <w:rFonts w:cs="Times New Roman"/>
          <w:kern w:val="0"/>
          <w:sz w:val="24"/>
          <w:szCs w:val="24"/>
        </w:rPr>
        <w:t>d the description, they are now show</w:t>
      </w:r>
      <w:r w:rsidR="0072678A">
        <w:rPr>
          <w:rFonts w:cs="Times New Roman"/>
          <w:kern w:val="0"/>
          <w:sz w:val="24"/>
          <w:szCs w:val="24"/>
        </w:rPr>
        <w:t>ed</w:t>
      </w:r>
      <w:r w:rsidR="003852C8">
        <w:rPr>
          <w:rFonts w:cs="Times New Roman"/>
          <w:kern w:val="0"/>
          <w:sz w:val="24"/>
          <w:szCs w:val="24"/>
        </w:rPr>
        <w:t xml:space="preserve"> as following sentences.</w:t>
      </w:r>
    </w:p>
    <w:p w14:paraId="05C2B123" w14:textId="77777777" w:rsidR="00BF2A17" w:rsidRPr="006E1E8C" w:rsidRDefault="003852C8" w:rsidP="00093D0E">
      <w:pPr>
        <w:widowControl/>
        <w:spacing w:after="100" w:afterAutospacing="1"/>
        <w:rPr>
          <w:rFonts w:cs="Times New Roman"/>
          <w:kern w:val="0"/>
          <w:sz w:val="24"/>
          <w:szCs w:val="24"/>
        </w:rPr>
      </w:pPr>
      <w:r>
        <w:rPr>
          <w:rFonts w:cs="Times New Roman"/>
          <w:kern w:val="0"/>
          <w:sz w:val="24"/>
          <w:szCs w:val="24"/>
        </w:rPr>
        <w:t>“</w:t>
      </w:r>
      <w:r w:rsidRPr="003852C8">
        <w:rPr>
          <w:rFonts w:cs="Times New Roman"/>
          <w:kern w:val="0"/>
          <w:sz w:val="24"/>
          <w:szCs w:val="24"/>
          <w:lang w:val="en-GB"/>
        </w:rPr>
        <w:t>To be brief, in winter, FRI Ⅰ and FRI II (protein-like species) increase with particle size and peaked at coarse mode. FRI Ⅲ and FRI Ⅴ (HULIS) were mainly abundant in fine particles. FRI Ⅳ (microbial related species) showed little variations between particle size 0.26 to 2.5 µm and decreased among 2.5 to 10 µm. In summer, the sum of FRI Ⅰ to FRI Ⅲ showed increase and decreased tendency with peaks value between 0.77 to 1.4 µm, FRI Ⅳ showed reversing variations as FRI Ⅰ-Ⅲ with lowest value among 1.4 to 2.5 µm. FRI Ⅴ didn’t have clear tendency but they showed high portions among 0.26 to 0.44 µm and 0.77 to 1.4 µm.</w:t>
      </w:r>
      <w:r>
        <w:rPr>
          <w:rFonts w:cs="Times New Roman"/>
          <w:kern w:val="0"/>
          <w:sz w:val="24"/>
          <w:szCs w:val="24"/>
        </w:rPr>
        <w:t>”</w:t>
      </w:r>
    </w:p>
    <w:p w14:paraId="191237ED" w14:textId="77777777" w:rsidR="00D810F7" w:rsidRDefault="0061364C" w:rsidP="00093D0E">
      <w:pPr>
        <w:widowControl/>
        <w:spacing w:after="100" w:afterAutospacing="1"/>
        <w:rPr>
          <w:rFonts w:cs="Times New Roman"/>
          <w:kern w:val="0"/>
          <w:sz w:val="24"/>
          <w:szCs w:val="24"/>
        </w:rPr>
      </w:pPr>
      <w:r w:rsidRPr="00301A12">
        <w:rPr>
          <w:rFonts w:cs="Times New Roman"/>
          <w:b/>
          <w:bCs/>
          <w:kern w:val="0"/>
          <w:sz w:val="24"/>
          <w:szCs w:val="24"/>
        </w:rPr>
        <w:t xml:space="preserve">7. </w:t>
      </w:r>
      <w:r w:rsidR="00D810F7" w:rsidRPr="00301A12">
        <w:rPr>
          <w:rFonts w:cs="Times New Roman"/>
          <w:b/>
          <w:bCs/>
          <w:kern w:val="0"/>
          <w:sz w:val="24"/>
          <w:szCs w:val="24"/>
        </w:rPr>
        <w:t>Lines 238-239:</w:t>
      </w:r>
      <w:r w:rsidR="00D810F7" w:rsidRPr="00301A12">
        <w:rPr>
          <w:rFonts w:cs="Times New Roman"/>
          <w:kern w:val="0"/>
          <w:sz w:val="24"/>
          <w:szCs w:val="24"/>
        </w:rPr>
        <w:t xml:space="preserve"> If com</w:t>
      </w:r>
      <w:r w:rsidR="00D810F7" w:rsidRPr="006E1E8C">
        <w:rPr>
          <w:rFonts w:cs="Times New Roman"/>
          <w:kern w:val="0"/>
          <w:sz w:val="24"/>
          <w:szCs w:val="24"/>
        </w:rPr>
        <w:t xml:space="preserve">ponent C3 (assigned to HULIS-2, in line 237) has no </w:t>
      </w:r>
      <w:bookmarkStart w:id="1" w:name="OLE_LINK2"/>
      <w:r w:rsidR="00D810F7" w:rsidRPr="006E1E8C">
        <w:rPr>
          <w:rFonts w:cs="Times New Roman"/>
          <w:kern w:val="0"/>
          <w:sz w:val="24"/>
          <w:szCs w:val="24"/>
        </w:rPr>
        <w:t>physical significance</w:t>
      </w:r>
      <w:bookmarkEnd w:id="1"/>
      <w:r w:rsidR="00D810F7" w:rsidRPr="006E1E8C">
        <w:rPr>
          <w:rFonts w:cs="Times New Roman"/>
          <w:kern w:val="0"/>
          <w:sz w:val="24"/>
          <w:szCs w:val="24"/>
        </w:rPr>
        <w:t xml:space="preserve"> and is considered as a “noise signal”, why it is quantified in Figure 6, for the Summer samples? Does it means that 17 to 46% of the fluorescence intensity of PARAFC components for each particle size, in summer samples, is due to “noise signal”?</w:t>
      </w:r>
      <w:bookmarkStart w:id="2" w:name="OLE_LINK1"/>
      <w:r w:rsidR="00D810F7" w:rsidRPr="006E1E8C">
        <w:rPr>
          <w:rFonts w:cs="Times New Roman"/>
          <w:kern w:val="0"/>
          <w:sz w:val="24"/>
          <w:szCs w:val="24"/>
        </w:rPr>
        <w:t xml:space="preserve"> This should be clarified in the manuscript, alongside with a reference to the variance of the model and the core consistency value for each particle size, for the winter and summer samples.</w:t>
      </w:r>
      <w:bookmarkEnd w:id="2"/>
    </w:p>
    <w:p w14:paraId="6AF83904" w14:textId="77777777" w:rsidR="0072678A" w:rsidRDefault="0072678A" w:rsidP="00093D0E">
      <w:pPr>
        <w:widowControl/>
        <w:spacing w:after="100" w:afterAutospacing="1"/>
        <w:rPr>
          <w:rFonts w:cs="Times New Roman"/>
          <w:kern w:val="0"/>
          <w:sz w:val="24"/>
          <w:szCs w:val="24"/>
        </w:rPr>
      </w:pPr>
      <w:r w:rsidRPr="00BF2A17">
        <w:rPr>
          <w:rFonts w:cs="Times New Roman"/>
          <w:b/>
          <w:bCs/>
          <w:kern w:val="0"/>
          <w:sz w:val="24"/>
          <w:szCs w:val="24"/>
        </w:rPr>
        <w:t xml:space="preserve">Thank you for your advice. </w:t>
      </w:r>
      <w:r w:rsidR="007739E3">
        <w:rPr>
          <w:rFonts w:cs="Times New Roman" w:hint="eastAsia"/>
          <w:kern w:val="0"/>
          <w:sz w:val="24"/>
          <w:szCs w:val="24"/>
        </w:rPr>
        <w:t>Th</w:t>
      </w:r>
      <w:r w:rsidR="007739E3">
        <w:rPr>
          <w:rFonts w:cs="Times New Roman"/>
          <w:kern w:val="0"/>
          <w:sz w:val="24"/>
          <w:szCs w:val="24"/>
        </w:rPr>
        <w:t>e PARAFAC results of summer samples</w:t>
      </w:r>
      <w:r w:rsidR="00AA6146" w:rsidRPr="00AA6146">
        <w:rPr>
          <w:rFonts w:cs="Times New Roman" w:hint="eastAsia"/>
          <w:kern w:val="0"/>
          <w:sz w:val="24"/>
          <w:szCs w:val="24"/>
        </w:rPr>
        <w:t xml:space="preserve"> </w:t>
      </w:r>
      <w:r w:rsidR="00AA6146">
        <w:rPr>
          <w:rFonts w:cs="Times New Roman" w:hint="eastAsia"/>
          <w:kern w:val="0"/>
          <w:sz w:val="24"/>
          <w:szCs w:val="24"/>
        </w:rPr>
        <w:t>showed</w:t>
      </w:r>
      <w:r w:rsidR="00AA6146" w:rsidRPr="00AA6146">
        <w:rPr>
          <w:rFonts w:cs="Times New Roman"/>
          <w:kern w:val="0"/>
          <w:sz w:val="24"/>
          <w:szCs w:val="24"/>
        </w:rPr>
        <w:t xml:space="preserve"> </w:t>
      </w:r>
      <w:r w:rsidR="00AA6146">
        <w:rPr>
          <w:rFonts w:cs="Times New Roman"/>
          <w:kern w:val="0"/>
          <w:sz w:val="24"/>
          <w:szCs w:val="24"/>
        </w:rPr>
        <w:t>a</w:t>
      </w:r>
      <w:r w:rsidR="00AA6146">
        <w:rPr>
          <w:rFonts w:cs="Times New Roman" w:hint="eastAsia"/>
          <w:kern w:val="0"/>
          <w:sz w:val="24"/>
          <w:szCs w:val="24"/>
        </w:rPr>
        <w:t>n obvious</w:t>
      </w:r>
      <w:r w:rsidR="00AA6146">
        <w:rPr>
          <w:rFonts w:cs="Times New Roman"/>
          <w:kern w:val="0"/>
          <w:sz w:val="24"/>
          <w:szCs w:val="24"/>
        </w:rPr>
        <w:t xml:space="preserve"> signal of no </w:t>
      </w:r>
      <w:r w:rsidR="00AA6146" w:rsidRPr="007739E3">
        <w:rPr>
          <w:rFonts w:cs="Times New Roman"/>
          <w:kern w:val="0"/>
          <w:sz w:val="24"/>
          <w:szCs w:val="24"/>
        </w:rPr>
        <w:t>physical significance</w:t>
      </w:r>
      <w:r w:rsidR="00AA6146">
        <w:rPr>
          <w:rFonts w:cs="Times New Roman" w:hint="eastAsia"/>
          <w:kern w:val="0"/>
          <w:sz w:val="24"/>
          <w:szCs w:val="24"/>
        </w:rPr>
        <w:t xml:space="preserve">. </w:t>
      </w:r>
      <w:r w:rsidR="00AA6146">
        <w:rPr>
          <w:rFonts w:cs="Times New Roman"/>
          <w:kern w:val="0"/>
          <w:sz w:val="24"/>
          <w:szCs w:val="24"/>
        </w:rPr>
        <w:t>A</w:t>
      </w:r>
      <w:r w:rsidR="00AA6146">
        <w:rPr>
          <w:rFonts w:cs="Times New Roman" w:hint="eastAsia"/>
          <w:kern w:val="0"/>
          <w:sz w:val="24"/>
          <w:szCs w:val="24"/>
        </w:rPr>
        <w:t xml:space="preserve">s a fact, we tried 2-7 components </w:t>
      </w:r>
      <w:r w:rsidR="00AA6146">
        <w:rPr>
          <w:rFonts w:cs="Times New Roman" w:hint="eastAsia"/>
          <w:kern w:val="0"/>
          <w:sz w:val="24"/>
          <w:szCs w:val="24"/>
        </w:rPr>
        <w:lastRenderedPageBreak/>
        <w:t xml:space="preserve">PARAFAC analysis, and all </w:t>
      </w:r>
      <w:r w:rsidR="00AA6146">
        <w:rPr>
          <w:rFonts w:cs="Times New Roman"/>
          <w:kern w:val="0"/>
          <w:sz w:val="24"/>
          <w:szCs w:val="24"/>
        </w:rPr>
        <w:t>results</w:t>
      </w:r>
      <w:r w:rsidR="00AA6146">
        <w:rPr>
          <w:rFonts w:cs="Times New Roman" w:hint="eastAsia"/>
          <w:kern w:val="0"/>
          <w:sz w:val="24"/>
          <w:szCs w:val="24"/>
        </w:rPr>
        <w:t xml:space="preserve"> contained this </w:t>
      </w:r>
      <w:r w:rsidR="00546810" w:rsidRPr="00546810">
        <w:rPr>
          <w:rFonts w:cs="Times New Roman"/>
          <w:kern w:val="0"/>
          <w:sz w:val="24"/>
          <w:szCs w:val="24"/>
        </w:rPr>
        <w:t>abnormal</w:t>
      </w:r>
      <w:r w:rsidR="00546810">
        <w:rPr>
          <w:rFonts w:cs="Times New Roman" w:hint="eastAsia"/>
          <w:kern w:val="0"/>
          <w:sz w:val="24"/>
          <w:szCs w:val="24"/>
        </w:rPr>
        <w:t xml:space="preserve"> signal</w:t>
      </w:r>
      <w:r w:rsidR="00BB6B80">
        <w:rPr>
          <w:rFonts w:cs="Times New Roman" w:hint="eastAsia"/>
          <w:kern w:val="0"/>
          <w:sz w:val="24"/>
          <w:szCs w:val="24"/>
        </w:rPr>
        <w:t xml:space="preserve">. </w:t>
      </w:r>
      <w:r w:rsidR="00BB6B80">
        <w:rPr>
          <w:rFonts w:cs="Times New Roman"/>
          <w:kern w:val="0"/>
          <w:sz w:val="24"/>
          <w:szCs w:val="24"/>
        </w:rPr>
        <w:t>T</w:t>
      </w:r>
      <w:r w:rsidR="00BB6B80">
        <w:rPr>
          <w:rFonts w:cs="Times New Roman" w:hint="eastAsia"/>
          <w:kern w:val="0"/>
          <w:sz w:val="24"/>
          <w:szCs w:val="24"/>
        </w:rPr>
        <w:t>he spectra were very weak for summer samples</w:t>
      </w:r>
      <w:r w:rsidR="00A90C81">
        <w:rPr>
          <w:rFonts w:cs="Times New Roman" w:hint="eastAsia"/>
          <w:kern w:val="0"/>
          <w:sz w:val="24"/>
          <w:szCs w:val="24"/>
        </w:rPr>
        <w:t>,</w:t>
      </w:r>
      <w:r w:rsidR="00BB6B80">
        <w:rPr>
          <w:rFonts w:cs="Times New Roman" w:hint="eastAsia"/>
          <w:kern w:val="0"/>
          <w:sz w:val="24"/>
          <w:szCs w:val="24"/>
        </w:rPr>
        <w:t xml:space="preserve"> </w:t>
      </w:r>
      <w:r w:rsidR="00BB6B80">
        <w:rPr>
          <w:rFonts w:cs="Times New Roman"/>
          <w:kern w:val="0"/>
          <w:sz w:val="24"/>
          <w:szCs w:val="24"/>
        </w:rPr>
        <w:t>especially</w:t>
      </w:r>
      <w:r w:rsidR="00BB6B80">
        <w:rPr>
          <w:rFonts w:cs="Times New Roman" w:hint="eastAsia"/>
          <w:kern w:val="0"/>
          <w:sz w:val="24"/>
          <w:szCs w:val="24"/>
        </w:rPr>
        <w:t xml:space="preserve"> for the</w:t>
      </w:r>
      <w:r w:rsidR="00896ECB">
        <w:rPr>
          <w:rFonts w:cs="Times New Roman" w:hint="eastAsia"/>
          <w:kern w:val="0"/>
          <w:sz w:val="24"/>
          <w:szCs w:val="24"/>
        </w:rPr>
        <w:t xml:space="preserve"> spectra of</w:t>
      </w:r>
      <w:r w:rsidR="00BB6B80">
        <w:rPr>
          <w:rFonts w:cs="Times New Roman" w:hint="eastAsia"/>
          <w:kern w:val="0"/>
          <w:sz w:val="24"/>
          <w:szCs w:val="24"/>
        </w:rPr>
        <w:t xml:space="preserve"> large partic</w:t>
      </w:r>
      <w:r w:rsidR="00896ECB">
        <w:rPr>
          <w:rFonts w:cs="Times New Roman" w:hint="eastAsia"/>
          <w:kern w:val="0"/>
          <w:sz w:val="24"/>
          <w:szCs w:val="24"/>
        </w:rPr>
        <w:t>les</w:t>
      </w:r>
      <w:r w:rsidR="00A90C81">
        <w:rPr>
          <w:rFonts w:cs="Times New Roman" w:hint="eastAsia"/>
          <w:kern w:val="0"/>
          <w:sz w:val="24"/>
          <w:szCs w:val="24"/>
        </w:rPr>
        <w:t xml:space="preserve"> at</w:t>
      </w:r>
      <w:r w:rsidR="00A90C81" w:rsidRPr="00A90C81">
        <w:rPr>
          <w:rFonts w:cs="Times New Roman" w:hint="eastAsia"/>
          <w:kern w:val="0"/>
          <w:sz w:val="24"/>
          <w:szCs w:val="24"/>
        </w:rPr>
        <w:t xml:space="preserve"> </w:t>
      </w:r>
      <w:r w:rsidR="00A90C81">
        <w:rPr>
          <w:rFonts w:cs="Times New Roman" w:hint="eastAsia"/>
          <w:kern w:val="0"/>
          <w:sz w:val="24"/>
          <w:szCs w:val="24"/>
        </w:rPr>
        <w:t>excitation wavelength between 200-230 nm</w:t>
      </w:r>
      <w:r w:rsidR="00896ECB">
        <w:rPr>
          <w:rFonts w:cs="Times New Roman" w:hint="eastAsia"/>
          <w:kern w:val="0"/>
          <w:sz w:val="24"/>
          <w:szCs w:val="24"/>
        </w:rPr>
        <w:t>.</w:t>
      </w:r>
      <w:r w:rsidR="00BB6B80">
        <w:rPr>
          <w:rFonts w:cs="Times New Roman" w:hint="eastAsia"/>
          <w:kern w:val="0"/>
          <w:sz w:val="24"/>
          <w:szCs w:val="24"/>
        </w:rPr>
        <w:t xml:space="preserve"> </w:t>
      </w:r>
      <w:r w:rsidR="00896ECB">
        <w:rPr>
          <w:rFonts w:cs="Times New Roman"/>
          <w:kern w:val="0"/>
          <w:sz w:val="24"/>
          <w:szCs w:val="24"/>
        </w:rPr>
        <w:t>W</w:t>
      </w:r>
      <w:r w:rsidR="00BB6B80">
        <w:rPr>
          <w:rFonts w:cs="Times New Roman" w:hint="eastAsia"/>
          <w:kern w:val="0"/>
          <w:sz w:val="24"/>
          <w:szCs w:val="24"/>
        </w:rPr>
        <w:t xml:space="preserve">e tried to avoid the noise </w:t>
      </w:r>
      <w:r w:rsidR="00896ECB">
        <w:rPr>
          <w:rFonts w:cs="Times New Roman" w:hint="eastAsia"/>
          <w:kern w:val="0"/>
          <w:sz w:val="24"/>
          <w:szCs w:val="24"/>
        </w:rPr>
        <w:t xml:space="preserve">by shrinking the start excitation </w:t>
      </w:r>
      <w:r w:rsidR="00896ECB">
        <w:rPr>
          <w:rFonts w:cs="Times New Roman"/>
          <w:kern w:val="0"/>
          <w:sz w:val="24"/>
          <w:szCs w:val="24"/>
        </w:rPr>
        <w:t>wavelength</w:t>
      </w:r>
      <w:r w:rsidR="00896ECB">
        <w:rPr>
          <w:rFonts w:cs="Times New Roman" w:hint="eastAsia"/>
          <w:kern w:val="0"/>
          <w:sz w:val="24"/>
          <w:szCs w:val="24"/>
        </w:rPr>
        <w:t xml:space="preserve"> to 220</w:t>
      </w:r>
      <w:r w:rsidR="00045893">
        <w:rPr>
          <w:rFonts w:cs="Times New Roman" w:hint="eastAsia"/>
          <w:kern w:val="0"/>
          <w:sz w:val="24"/>
          <w:szCs w:val="24"/>
        </w:rPr>
        <w:t xml:space="preserve"> </w:t>
      </w:r>
      <w:r w:rsidR="00896ECB">
        <w:rPr>
          <w:rFonts w:cs="Times New Roman" w:hint="eastAsia"/>
          <w:kern w:val="0"/>
          <w:sz w:val="24"/>
          <w:szCs w:val="24"/>
        </w:rPr>
        <w:t>nm, however, the results</w:t>
      </w:r>
      <w:r w:rsidR="00045893">
        <w:rPr>
          <w:rFonts w:cs="Times New Roman" w:hint="eastAsia"/>
          <w:kern w:val="0"/>
          <w:sz w:val="24"/>
          <w:szCs w:val="24"/>
        </w:rPr>
        <w:t xml:space="preserve"> were</w:t>
      </w:r>
      <w:r w:rsidR="00896ECB">
        <w:rPr>
          <w:rFonts w:cs="Times New Roman" w:hint="eastAsia"/>
          <w:kern w:val="0"/>
          <w:sz w:val="24"/>
          <w:szCs w:val="24"/>
        </w:rPr>
        <w:t xml:space="preserve"> </w:t>
      </w:r>
      <w:r w:rsidR="00045893" w:rsidRPr="00045893">
        <w:rPr>
          <w:rFonts w:cs="Times New Roman"/>
          <w:kern w:val="0"/>
          <w:sz w:val="24"/>
          <w:szCs w:val="24"/>
        </w:rPr>
        <w:t>barely satisfactory</w:t>
      </w:r>
      <w:r w:rsidR="00896ECB">
        <w:rPr>
          <w:rFonts w:cs="Times New Roman" w:hint="eastAsia"/>
          <w:kern w:val="0"/>
          <w:sz w:val="24"/>
          <w:szCs w:val="24"/>
        </w:rPr>
        <w:t>.</w:t>
      </w:r>
      <w:r w:rsidR="00045893">
        <w:rPr>
          <w:rFonts w:cs="Times New Roman" w:hint="eastAsia"/>
          <w:kern w:val="0"/>
          <w:sz w:val="24"/>
          <w:szCs w:val="24"/>
        </w:rPr>
        <w:t xml:space="preserve"> Thus, an </w:t>
      </w:r>
      <w:r w:rsidR="00045893" w:rsidRPr="00045893">
        <w:rPr>
          <w:rFonts w:cs="Times New Roman"/>
          <w:kern w:val="0"/>
          <w:sz w:val="24"/>
          <w:szCs w:val="24"/>
        </w:rPr>
        <w:t>unexpected</w:t>
      </w:r>
      <w:r w:rsidR="00896ECB">
        <w:rPr>
          <w:rFonts w:cs="Times New Roman" w:hint="eastAsia"/>
          <w:kern w:val="0"/>
          <w:sz w:val="24"/>
          <w:szCs w:val="24"/>
        </w:rPr>
        <w:t xml:space="preserve"> </w:t>
      </w:r>
      <w:r w:rsidR="00045893">
        <w:rPr>
          <w:rFonts w:cs="Times New Roman" w:hint="eastAsia"/>
          <w:kern w:val="0"/>
          <w:sz w:val="24"/>
          <w:szCs w:val="24"/>
        </w:rPr>
        <w:t xml:space="preserve">fraction of 17% to 46% of </w:t>
      </w:r>
      <w:r w:rsidR="00045893">
        <w:rPr>
          <w:rFonts w:cs="Times New Roman"/>
          <w:kern w:val="0"/>
          <w:sz w:val="24"/>
          <w:szCs w:val="24"/>
        </w:rPr>
        <w:t>“</w:t>
      </w:r>
      <w:r w:rsidR="00045893">
        <w:rPr>
          <w:rFonts w:cs="Times New Roman" w:hint="eastAsia"/>
          <w:kern w:val="0"/>
          <w:sz w:val="24"/>
          <w:szCs w:val="24"/>
        </w:rPr>
        <w:t>noise</w:t>
      </w:r>
      <w:r w:rsidR="00045893">
        <w:rPr>
          <w:rFonts w:cs="Times New Roman"/>
          <w:kern w:val="0"/>
          <w:sz w:val="24"/>
          <w:szCs w:val="24"/>
        </w:rPr>
        <w:t>”</w:t>
      </w:r>
      <w:r w:rsidR="00045893">
        <w:rPr>
          <w:rFonts w:cs="Times New Roman" w:hint="eastAsia"/>
          <w:kern w:val="0"/>
          <w:sz w:val="24"/>
          <w:szCs w:val="24"/>
        </w:rPr>
        <w:t xml:space="preserve"> was </w:t>
      </w:r>
      <w:r w:rsidR="00045893">
        <w:rPr>
          <w:rFonts w:cs="Times New Roman"/>
          <w:kern w:val="0"/>
          <w:sz w:val="24"/>
          <w:szCs w:val="24"/>
        </w:rPr>
        <w:t>depicted</w:t>
      </w:r>
      <w:r w:rsidR="00045893">
        <w:rPr>
          <w:rFonts w:cs="Times New Roman" w:hint="eastAsia"/>
          <w:kern w:val="0"/>
          <w:sz w:val="24"/>
          <w:szCs w:val="24"/>
        </w:rPr>
        <w:t xml:space="preserve"> in the results. </w:t>
      </w:r>
      <w:r w:rsidR="00896ECB">
        <w:rPr>
          <w:rFonts w:cs="Times New Roman"/>
          <w:kern w:val="0"/>
          <w:sz w:val="24"/>
          <w:szCs w:val="24"/>
        </w:rPr>
        <w:t>T</w:t>
      </w:r>
      <w:r w:rsidR="00896ECB">
        <w:rPr>
          <w:rFonts w:cs="Times New Roman" w:hint="eastAsia"/>
          <w:kern w:val="0"/>
          <w:sz w:val="24"/>
          <w:szCs w:val="24"/>
        </w:rPr>
        <w:t>he</w:t>
      </w:r>
      <w:r w:rsidR="00546810">
        <w:rPr>
          <w:rFonts w:cs="Times New Roman" w:hint="eastAsia"/>
          <w:kern w:val="0"/>
          <w:sz w:val="24"/>
          <w:szCs w:val="24"/>
        </w:rPr>
        <w:t xml:space="preserve"> </w:t>
      </w:r>
      <w:r w:rsidR="00D46DA9">
        <w:rPr>
          <w:rFonts w:cs="Times New Roman" w:hint="eastAsia"/>
          <w:kern w:val="0"/>
          <w:sz w:val="24"/>
          <w:szCs w:val="24"/>
        </w:rPr>
        <w:t xml:space="preserve">3 components </w:t>
      </w:r>
      <w:r w:rsidR="00BB6B80">
        <w:rPr>
          <w:rFonts w:cs="Times New Roman" w:hint="eastAsia"/>
          <w:kern w:val="0"/>
          <w:sz w:val="24"/>
          <w:szCs w:val="24"/>
        </w:rPr>
        <w:t>result w</w:t>
      </w:r>
      <w:r w:rsidR="00896ECB">
        <w:rPr>
          <w:rFonts w:cs="Times New Roman" w:hint="eastAsia"/>
          <w:kern w:val="0"/>
          <w:sz w:val="24"/>
          <w:szCs w:val="24"/>
        </w:rPr>
        <w:t>as</w:t>
      </w:r>
      <w:r w:rsidR="00BB6B80">
        <w:rPr>
          <w:rFonts w:cs="Times New Roman" w:hint="eastAsia"/>
          <w:kern w:val="0"/>
          <w:sz w:val="24"/>
          <w:szCs w:val="24"/>
        </w:rPr>
        <w:t xml:space="preserve"> sele</w:t>
      </w:r>
      <w:r w:rsidR="00896ECB">
        <w:rPr>
          <w:rFonts w:cs="Times New Roman" w:hint="eastAsia"/>
          <w:kern w:val="0"/>
          <w:sz w:val="24"/>
          <w:szCs w:val="24"/>
        </w:rPr>
        <w:t>cted for its</w:t>
      </w:r>
      <w:r w:rsidR="00D46DA9">
        <w:rPr>
          <w:rFonts w:cs="Times New Roman" w:hint="eastAsia"/>
          <w:kern w:val="0"/>
          <w:sz w:val="24"/>
          <w:szCs w:val="24"/>
        </w:rPr>
        <w:t xml:space="preserve"> TCC value</w:t>
      </w:r>
      <w:r w:rsidR="00BB6B80">
        <w:rPr>
          <w:rFonts w:cs="Times New Roman" w:hint="eastAsia"/>
          <w:kern w:val="0"/>
          <w:sz w:val="24"/>
          <w:szCs w:val="24"/>
        </w:rPr>
        <w:t>s</w:t>
      </w:r>
      <w:r w:rsidR="00D46DA9">
        <w:rPr>
          <w:rFonts w:cs="Times New Roman" w:hint="eastAsia"/>
          <w:kern w:val="0"/>
          <w:sz w:val="24"/>
          <w:szCs w:val="24"/>
        </w:rPr>
        <w:t xml:space="preserve"> </w:t>
      </w:r>
      <w:r w:rsidR="00AA6146">
        <w:rPr>
          <w:rFonts w:cs="Times New Roman" w:hint="eastAsia"/>
          <w:kern w:val="0"/>
          <w:sz w:val="24"/>
          <w:szCs w:val="24"/>
        </w:rPr>
        <w:t>(</w:t>
      </w:r>
      <w:r w:rsidR="00AA6146" w:rsidRPr="00AA6146">
        <w:rPr>
          <w:rFonts w:cs="Times New Roman"/>
          <w:kern w:val="0"/>
          <w:sz w:val="24"/>
          <w:szCs w:val="24"/>
        </w:rPr>
        <w:t>Tucker congruence coefficient</w:t>
      </w:r>
      <w:r w:rsidR="00D46DA9">
        <w:rPr>
          <w:rFonts w:cs="Times New Roman" w:hint="eastAsia"/>
          <w:kern w:val="0"/>
          <w:sz w:val="24"/>
          <w:szCs w:val="24"/>
        </w:rPr>
        <w:t xml:space="preserve">) </w:t>
      </w:r>
      <w:r w:rsidR="00BB6B80">
        <w:rPr>
          <w:rFonts w:cs="Times New Roman" w:hint="eastAsia"/>
          <w:kern w:val="0"/>
          <w:sz w:val="24"/>
          <w:szCs w:val="24"/>
        </w:rPr>
        <w:t>of all sample</w:t>
      </w:r>
      <w:r w:rsidR="00896ECB">
        <w:rPr>
          <w:rFonts w:cs="Times New Roman" w:hint="eastAsia"/>
          <w:kern w:val="0"/>
          <w:sz w:val="24"/>
          <w:szCs w:val="24"/>
        </w:rPr>
        <w:t>s were</w:t>
      </w:r>
      <w:r w:rsidR="00BB6B80">
        <w:rPr>
          <w:rFonts w:cs="Times New Roman" w:hint="eastAsia"/>
          <w:kern w:val="0"/>
          <w:sz w:val="24"/>
          <w:szCs w:val="24"/>
        </w:rPr>
        <w:t xml:space="preserve"> larger than</w:t>
      </w:r>
      <w:r w:rsidR="00546810" w:rsidRPr="00546810">
        <w:rPr>
          <w:rFonts w:cs="Times New Roman"/>
          <w:kern w:val="0"/>
          <w:sz w:val="24"/>
          <w:szCs w:val="24"/>
        </w:rPr>
        <w:t xml:space="preserve"> threshold</w:t>
      </w:r>
      <w:r w:rsidR="00AA6146">
        <w:rPr>
          <w:rFonts w:cs="Times New Roman" w:hint="eastAsia"/>
          <w:kern w:val="0"/>
          <w:sz w:val="24"/>
          <w:szCs w:val="24"/>
        </w:rPr>
        <w:t xml:space="preserve"> </w:t>
      </w:r>
      <w:r w:rsidR="00546810">
        <w:rPr>
          <w:rFonts w:cs="Times New Roman" w:hint="eastAsia"/>
          <w:kern w:val="0"/>
          <w:sz w:val="24"/>
          <w:szCs w:val="24"/>
        </w:rPr>
        <w:t xml:space="preserve">of </w:t>
      </w:r>
      <w:r w:rsidR="00AA6146">
        <w:rPr>
          <w:rFonts w:cs="Times New Roman" w:hint="eastAsia"/>
          <w:kern w:val="0"/>
          <w:sz w:val="24"/>
          <w:szCs w:val="24"/>
        </w:rPr>
        <w:t>0.95</w:t>
      </w:r>
      <w:r w:rsidR="00BB6B80">
        <w:rPr>
          <w:rFonts w:cs="Times New Roman" w:hint="eastAsia"/>
          <w:kern w:val="0"/>
          <w:sz w:val="24"/>
          <w:szCs w:val="24"/>
        </w:rPr>
        <w:t xml:space="preserve"> and the</w:t>
      </w:r>
      <w:r w:rsidR="00546810">
        <w:rPr>
          <w:rFonts w:cs="Times New Roman" w:hint="eastAsia"/>
          <w:kern w:val="0"/>
          <w:sz w:val="24"/>
          <w:szCs w:val="24"/>
        </w:rPr>
        <w:t xml:space="preserve"> half-split validation results </w:t>
      </w:r>
      <w:r w:rsidR="00BB6B80">
        <w:rPr>
          <w:rFonts w:cs="Times New Roman" w:hint="eastAsia"/>
          <w:kern w:val="0"/>
          <w:sz w:val="24"/>
          <w:szCs w:val="24"/>
        </w:rPr>
        <w:t>determined the model was robust</w:t>
      </w:r>
      <w:r w:rsidR="00A90C81">
        <w:rPr>
          <w:rFonts w:cs="Times New Roman" w:hint="eastAsia"/>
          <w:kern w:val="0"/>
          <w:sz w:val="24"/>
          <w:szCs w:val="24"/>
        </w:rPr>
        <w:t xml:space="preserve">. </w:t>
      </w:r>
      <w:r w:rsidR="00A90C81">
        <w:rPr>
          <w:rFonts w:cs="Times New Roman"/>
          <w:kern w:val="0"/>
          <w:sz w:val="24"/>
          <w:szCs w:val="24"/>
        </w:rPr>
        <w:t>W</w:t>
      </w:r>
      <w:r w:rsidR="00A90C81">
        <w:rPr>
          <w:rFonts w:cs="Times New Roman" w:hint="eastAsia"/>
          <w:kern w:val="0"/>
          <w:sz w:val="24"/>
          <w:szCs w:val="24"/>
        </w:rPr>
        <w:t xml:space="preserve">e added some explanations </w:t>
      </w:r>
      <w:r w:rsidR="008C03D9">
        <w:rPr>
          <w:rFonts w:cs="Times New Roman" w:hint="eastAsia"/>
          <w:kern w:val="0"/>
          <w:sz w:val="24"/>
          <w:szCs w:val="24"/>
        </w:rPr>
        <w:t>in</w:t>
      </w:r>
      <w:r w:rsidR="00A90C81">
        <w:rPr>
          <w:rFonts w:cs="Times New Roman" w:hint="eastAsia"/>
          <w:kern w:val="0"/>
          <w:sz w:val="24"/>
          <w:szCs w:val="24"/>
        </w:rPr>
        <w:t xml:space="preserve"> </w:t>
      </w:r>
      <w:r w:rsidR="008C03D9">
        <w:rPr>
          <w:rFonts w:cs="Times New Roman" w:hint="eastAsia"/>
          <w:kern w:val="0"/>
          <w:sz w:val="24"/>
          <w:szCs w:val="24"/>
        </w:rPr>
        <w:t>the method section of PARAFAC in lines 147-149, they were shown as follows.</w:t>
      </w:r>
    </w:p>
    <w:p w14:paraId="4FB037F4" w14:textId="77777777" w:rsidR="008C03D9" w:rsidRPr="006E1E8C" w:rsidRDefault="008C03D9" w:rsidP="00093D0E">
      <w:pPr>
        <w:widowControl/>
        <w:spacing w:after="100" w:afterAutospacing="1"/>
        <w:rPr>
          <w:rFonts w:cs="Times New Roman"/>
          <w:kern w:val="0"/>
          <w:sz w:val="24"/>
          <w:szCs w:val="24"/>
        </w:rPr>
      </w:pPr>
      <w:r>
        <w:rPr>
          <w:rFonts w:cs="Times New Roman"/>
          <w:kern w:val="0"/>
          <w:sz w:val="24"/>
          <w:szCs w:val="24"/>
        </w:rPr>
        <w:t>“</w:t>
      </w:r>
      <w:r w:rsidRPr="008C03D9">
        <w:rPr>
          <w:rFonts w:cs="Times New Roman"/>
          <w:kern w:val="0"/>
          <w:sz w:val="24"/>
          <w:szCs w:val="24"/>
        </w:rPr>
        <w:t>Tucker congruence coefficient (TCC) was determined for each excitation spectrum and emission spectrum results, and a threshold of 0.95 was applied to confirm the spectral congruence. The model was determined by half-split validation.</w:t>
      </w:r>
      <w:r>
        <w:rPr>
          <w:rFonts w:cs="Times New Roman"/>
          <w:kern w:val="0"/>
          <w:sz w:val="24"/>
          <w:szCs w:val="24"/>
        </w:rPr>
        <w:t>”</w:t>
      </w:r>
    </w:p>
    <w:p w14:paraId="365F5BE4" w14:textId="77777777" w:rsidR="00D810F7" w:rsidRPr="006E1E8C" w:rsidRDefault="0061364C" w:rsidP="00093D0E">
      <w:pPr>
        <w:widowControl/>
        <w:spacing w:after="100" w:afterAutospacing="1"/>
        <w:rPr>
          <w:rFonts w:cs="Times New Roman"/>
          <w:kern w:val="0"/>
          <w:sz w:val="24"/>
          <w:szCs w:val="24"/>
        </w:rPr>
      </w:pPr>
      <w:r>
        <w:rPr>
          <w:rFonts w:cs="Times New Roman"/>
          <w:b/>
          <w:bCs/>
          <w:kern w:val="0"/>
          <w:sz w:val="24"/>
          <w:szCs w:val="24"/>
        </w:rPr>
        <w:t xml:space="preserve">8. </w:t>
      </w:r>
      <w:r w:rsidR="00D810F7" w:rsidRPr="00EA00B0">
        <w:rPr>
          <w:rFonts w:cs="Times New Roman"/>
          <w:b/>
          <w:bCs/>
          <w:kern w:val="0"/>
          <w:sz w:val="24"/>
          <w:szCs w:val="24"/>
        </w:rPr>
        <w:t>Section 3.5:</w:t>
      </w:r>
      <w:r w:rsidR="00D810F7" w:rsidRPr="006E1E8C">
        <w:rPr>
          <w:rFonts w:cs="Times New Roman"/>
          <w:kern w:val="0"/>
          <w:sz w:val="24"/>
          <w:szCs w:val="24"/>
        </w:rPr>
        <w:t xml:space="preserve"> As above mentioned, the lack of explanations regarding the GRD analysis applied to the EEM fluorescence data is the main issue of this work. For example, in line 256, which are the comparing factors (and why) and why the particles below 0.26 μm were used as references? In lines 257-258, what do you mean with the statement “The GRD of WSOC, AFI, and UV between particle sizes were basically well among both seasons.”?</w:t>
      </w:r>
    </w:p>
    <w:p w14:paraId="035501EA" w14:textId="77777777" w:rsidR="00D810F7" w:rsidRPr="006E1E8C" w:rsidRDefault="00D810F7" w:rsidP="00093D0E">
      <w:pPr>
        <w:rPr>
          <w:rFonts w:cs="Times New Roman"/>
          <w:kern w:val="0"/>
          <w:sz w:val="24"/>
          <w:szCs w:val="24"/>
        </w:rPr>
      </w:pPr>
      <w:r w:rsidRPr="006E1E8C">
        <w:rPr>
          <w:rFonts w:cs="Times New Roman"/>
          <w:kern w:val="0"/>
          <w:sz w:val="24"/>
          <w:szCs w:val="24"/>
        </w:rPr>
        <w:t>Furthermore, in lines 267-268, the authors state that “GRD were strongly negatively correlated with estimated secondary organic carbon (SOC) concentrations with correlation efficient r at -0.64 (p&lt;0.000) in winter and -0.63 in summer.” Where is the data regarding the estimate of SOC in the collected air particles samples? What was the method followed by the authors to estimate the amount of SOC in the collected samples? Additional data and explanations are required here for a better understanding of how fluorescent WSOC is highly affected by secondary processes, and that GRD between WSOC and AFI could serve as an indicator of secondary formation.</w:t>
      </w:r>
    </w:p>
    <w:p w14:paraId="6F371771" w14:textId="77777777" w:rsidR="00275497" w:rsidRPr="006E1E8C" w:rsidRDefault="00275497" w:rsidP="00093D0E">
      <w:pPr>
        <w:rPr>
          <w:rFonts w:cs="Times New Roman"/>
          <w:kern w:val="0"/>
          <w:sz w:val="24"/>
          <w:szCs w:val="24"/>
        </w:rPr>
      </w:pPr>
    </w:p>
    <w:p w14:paraId="2F8B350D" w14:textId="77777777" w:rsidR="0072678A" w:rsidRDefault="0072678A" w:rsidP="00093D0E">
      <w:pPr>
        <w:rPr>
          <w:rFonts w:cs="Times New Roman"/>
          <w:kern w:val="0"/>
          <w:sz w:val="24"/>
          <w:szCs w:val="24"/>
        </w:rPr>
      </w:pPr>
      <w:r w:rsidRPr="0072678A">
        <w:rPr>
          <w:rFonts w:cs="Times New Roman"/>
          <w:b/>
          <w:bCs/>
          <w:kern w:val="0"/>
          <w:sz w:val="24"/>
          <w:szCs w:val="24"/>
        </w:rPr>
        <w:t xml:space="preserve">Thank you for your advice. </w:t>
      </w:r>
      <w:r>
        <w:rPr>
          <w:rFonts w:cs="Times New Roman"/>
          <w:kern w:val="0"/>
          <w:sz w:val="24"/>
          <w:szCs w:val="24"/>
        </w:rPr>
        <w:t xml:space="preserve">Sorry again for the unclear descriptions on the GRA results. As mentioned in question 2, we add the detailed information on the reference and comparison lines of GRA </w:t>
      </w:r>
      <w:r w:rsidR="000A0F87">
        <w:rPr>
          <w:rFonts w:cs="Times New Roman"/>
          <w:kern w:val="0"/>
          <w:sz w:val="24"/>
          <w:szCs w:val="24"/>
        </w:rPr>
        <w:t xml:space="preserve">in section 2.4.3 </w:t>
      </w:r>
      <w:r>
        <w:rPr>
          <w:rFonts w:cs="Times New Roman"/>
          <w:kern w:val="0"/>
          <w:sz w:val="24"/>
          <w:szCs w:val="24"/>
        </w:rPr>
        <w:t xml:space="preserve">and explains the definition of GRD in SI Section1. Besides, we modified the sentences in section 3.5 and deleted the </w:t>
      </w:r>
      <w:r w:rsidR="000A0F87">
        <w:rPr>
          <w:rFonts w:cs="Times New Roman"/>
          <w:kern w:val="0"/>
          <w:sz w:val="24"/>
          <w:szCs w:val="24"/>
        </w:rPr>
        <w:t xml:space="preserve">statements in lines 257-258. </w:t>
      </w:r>
      <w:r w:rsidR="000A0F87" w:rsidRPr="000A0F87">
        <w:rPr>
          <w:rFonts w:cs="Times New Roman"/>
          <w:kern w:val="0"/>
          <w:sz w:val="24"/>
          <w:szCs w:val="24"/>
        </w:rPr>
        <w:t>Moreover, the data acquirement of secondary organic carbon (SOC) was explained in supplementary information in section 2.</w:t>
      </w:r>
      <w:r w:rsidR="000A0F87">
        <w:rPr>
          <w:rFonts w:cs="Times New Roman"/>
          <w:kern w:val="0"/>
          <w:sz w:val="24"/>
          <w:szCs w:val="24"/>
        </w:rPr>
        <w:t xml:space="preserve"> We noticed that the GRD of WSOC&amp;AFI shows reversing tendency of decrease first and increase afterwards with minimum values between 0.26 to 0.44 </w:t>
      </w:r>
      <w:r w:rsidR="000A0F87" w:rsidRPr="000A0F87">
        <w:rPr>
          <w:rFonts w:cs="Times New Roman"/>
          <w:kern w:val="0"/>
          <w:sz w:val="24"/>
          <w:szCs w:val="24"/>
        </w:rPr>
        <w:t>μm</w:t>
      </w:r>
      <w:r w:rsidR="000A0F87">
        <w:rPr>
          <w:rFonts w:cs="Times New Roman"/>
          <w:kern w:val="0"/>
          <w:sz w:val="24"/>
          <w:szCs w:val="24"/>
        </w:rPr>
        <w:t xml:space="preserve">, and considering the active accumulation properties of ultrafine particles, we conjectured that secondary processes might affect the fluorescence properties of WSOC, by implementing correlation analysis between GRD and SOC concentrations, strong negative correlation results were found both in winter and summer. We add this </w:t>
      </w:r>
      <w:r w:rsidR="000A0F87" w:rsidRPr="000A0F87">
        <w:rPr>
          <w:rFonts w:cs="Times New Roman"/>
          <w:kern w:val="0"/>
          <w:sz w:val="24"/>
          <w:szCs w:val="24"/>
        </w:rPr>
        <w:t>thought processes</w:t>
      </w:r>
      <w:r w:rsidR="000A0F87">
        <w:rPr>
          <w:rFonts w:cs="Times New Roman"/>
          <w:kern w:val="0"/>
          <w:sz w:val="24"/>
          <w:szCs w:val="24"/>
        </w:rPr>
        <w:t xml:space="preserve"> in the manuscript. They are now read as follows.</w:t>
      </w:r>
    </w:p>
    <w:p w14:paraId="0A7F0CF7" w14:textId="77777777" w:rsidR="000A0F87" w:rsidRDefault="000A0F87" w:rsidP="00093D0E">
      <w:pPr>
        <w:rPr>
          <w:rFonts w:cs="Times New Roman"/>
          <w:kern w:val="0"/>
          <w:sz w:val="24"/>
          <w:szCs w:val="24"/>
        </w:rPr>
      </w:pPr>
    </w:p>
    <w:p w14:paraId="47212005" w14:textId="77777777" w:rsidR="000A0F87" w:rsidRDefault="000A0F87" w:rsidP="00093D0E">
      <w:pPr>
        <w:rPr>
          <w:rFonts w:cs="Times New Roman"/>
          <w:kern w:val="0"/>
          <w:sz w:val="24"/>
          <w:szCs w:val="24"/>
        </w:rPr>
      </w:pPr>
      <w:r>
        <w:rPr>
          <w:rFonts w:cs="Times New Roman"/>
          <w:kern w:val="0"/>
          <w:sz w:val="24"/>
          <w:szCs w:val="24"/>
        </w:rPr>
        <w:t>In 2.4.3</w:t>
      </w:r>
    </w:p>
    <w:p w14:paraId="5CD633CF" w14:textId="77777777" w:rsidR="000A0F87" w:rsidRPr="000A0F87" w:rsidRDefault="000A0F87" w:rsidP="00093D0E">
      <w:pPr>
        <w:rPr>
          <w:rFonts w:cs="Times New Roman"/>
          <w:b/>
          <w:bCs/>
          <w:kern w:val="0"/>
          <w:sz w:val="24"/>
          <w:szCs w:val="24"/>
        </w:rPr>
      </w:pPr>
      <w:r w:rsidRPr="000A0F87">
        <w:rPr>
          <w:rFonts w:cs="Times New Roman"/>
          <w:kern w:val="0"/>
          <w:sz w:val="24"/>
          <w:szCs w:val="24"/>
        </w:rPr>
        <w:t xml:space="preserve">“Grey relational analysis (GRA) is a part of the grey system theory proposed by Deng (1982), that can be used to describe the relative changes among factors in a system development process. The detailed calculation of grey relational degree (GRD) was explained in supplementary information. Generally, in GRA, a reference line and one or a series of comparison sequences were selected, the GRD between reference line and comparison line indicated the compactness degree. The fluorescence properties of WSOC </w:t>
      </w:r>
      <w:r w:rsidRPr="000A0F87">
        <w:rPr>
          <w:rFonts w:cs="Times New Roman" w:hint="eastAsia"/>
          <w:kern w:val="0"/>
          <w:sz w:val="24"/>
          <w:szCs w:val="24"/>
        </w:rPr>
        <w:t>were</w:t>
      </w:r>
      <w:r w:rsidRPr="000A0F87">
        <w:rPr>
          <w:rFonts w:cs="Times New Roman"/>
          <w:kern w:val="0"/>
          <w:sz w:val="24"/>
          <w:szCs w:val="24"/>
        </w:rPr>
        <w:t xml:space="preserve"> considered as a grey system. Two sets of GRA were performed for WSOC of each season. Firstly, considering the evolution of particle sizes as a changing system, larger particles might come from the accumulation and transformation of smaller particle, especially for ultrafine particles. By setting data of particles smaller than 0.26 µm (WSOC concentrations, AFI or UV) as references</w:t>
      </w:r>
      <w:r w:rsidRPr="000A0F87">
        <w:rPr>
          <w:rFonts w:cs="Times New Roman" w:hint="eastAsia"/>
          <w:kern w:val="0"/>
          <w:sz w:val="24"/>
          <w:szCs w:val="24"/>
        </w:rPr>
        <w:t xml:space="preserve"> and particles larger than </w:t>
      </w:r>
      <w:r w:rsidRPr="000A0F87">
        <w:rPr>
          <w:rFonts w:cs="Times New Roman"/>
          <w:kern w:val="0"/>
          <w:sz w:val="24"/>
          <w:szCs w:val="24"/>
        </w:rPr>
        <w:t>0.26 µm</w:t>
      </w:r>
      <w:r w:rsidRPr="000A0F87">
        <w:rPr>
          <w:rFonts w:cs="Times New Roman" w:hint="eastAsia"/>
          <w:kern w:val="0"/>
          <w:sz w:val="24"/>
          <w:szCs w:val="24"/>
        </w:rPr>
        <w:t xml:space="preserve"> as comparisons</w:t>
      </w:r>
      <w:r w:rsidRPr="000A0F87">
        <w:rPr>
          <w:rFonts w:cs="Times New Roman"/>
          <w:kern w:val="0"/>
          <w:sz w:val="24"/>
          <w:szCs w:val="24"/>
        </w:rPr>
        <w:t>, the</w:t>
      </w:r>
      <w:r w:rsidRPr="000A0F87">
        <w:rPr>
          <w:rFonts w:cs="Times New Roman" w:hint="eastAsia"/>
          <w:kern w:val="0"/>
          <w:sz w:val="24"/>
          <w:szCs w:val="24"/>
        </w:rPr>
        <w:t>ir</w:t>
      </w:r>
      <w:r w:rsidRPr="000A0F87">
        <w:rPr>
          <w:rFonts w:cs="Times New Roman"/>
          <w:kern w:val="0"/>
          <w:sz w:val="24"/>
          <w:szCs w:val="24"/>
        </w:rPr>
        <w:t xml:space="preserve"> affinities</w:t>
      </w:r>
      <w:r w:rsidRPr="000A0F87">
        <w:rPr>
          <w:rFonts w:cs="Times New Roman" w:hint="eastAsia"/>
          <w:kern w:val="0"/>
          <w:sz w:val="24"/>
          <w:szCs w:val="24"/>
        </w:rPr>
        <w:t xml:space="preserve"> were analy</w:t>
      </w:r>
      <w:r w:rsidRPr="000A0F87">
        <w:rPr>
          <w:rFonts w:cs="Times New Roman"/>
          <w:kern w:val="0"/>
          <w:sz w:val="24"/>
          <w:szCs w:val="24"/>
        </w:rPr>
        <w:t>z</w:t>
      </w:r>
      <w:r w:rsidRPr="000A0F87">
        <w:rPr>
          <w:rFonts w:cs="Times New Roman" w:hint="eastAsia"/>
          <w:kern w:val="0"/>
          <w:sz w:val="24"/>
          <w:szCs w:val="24"/>
        </w:rPr>
        <w:t xml:space="preserve">ed by GRA. </w:t>
      </w:r>
      <w:r w:rsidRPr="000A0F87">
        <w:rPr>
          <w:rFonts w:cs="Times New Roman"/>
          <w:kern w:val="0"/>
          <w:sz w:val="24"/>
          <w:szCs w:val="24"/>
        </w:rPr>
        <w:t>S</w:t>
      </w:r>
      <w:r w:rsidRPr="000A0F87">
        <w:rPr>
          <w:rFonts w:cs="Times New Roman" w:hint="eastAsia"/>
          <w:kern w:val="0"/>
          <w:sz w:val="24"/>
          <w:szCs w:val="24"/>
        </w:rPr>
        <w:t xml:space="preserve">econdly, </w:t>
      </w:r>
      <w:r w:rsidRPr="000A0F87">
        <w:rPr>
          <w:rFonts w:cs="Times New Roman"/>
          <w:kern w:val="0"/>
          <w:sz w:val="24"/>
          <w:szCs w:val="24"/>
        </w:rPr>
        <w:t xml:space="preserve">the fluorescence spectra were generated by part of WSOC, </w:t>
      </w:r>
      <w:r w:rsidRPr="000A0F87">
        <w:rPr>
          <w:rFonts w:cs="Times New Roman" w:hint="eastAsia"/>
          <w:kern w:val="0"/>
          <w:sz w:val="24"/>
          <w:szCs w:val="24"/>
        </w:rPr>
        <w:t xml:space="preserve">setting the WSOC </w:t>
      </w:r>
      <w:r w:rsidRPr="000A0F87">
        <w:rPr>
          <w:rFonts w:cs="Times New Roman"/>
          <w:kern w:val="0"/>
          <w:sz w:val="24"/>
          <w:szCs w:val="24"/>
        </w:rPr>
        <w:t>concentrations</w:t>
      </w:r>
      <w:r w:rsidRPr="000A0F87">
        <w:rPr>
          <w:rFonts w:cs="Times New Roman" w:hint="eastAsia"/>
          <w:kern w:val="0"/>
          <w:sz w:val="24"/>
          <w:szCs w:val="24"/>
        </w:rPr>
        <w:t xml:space="preserve"> as references</w:t>
      </w:r>
      <w:r w:rsidRPr="000A0F87">
        <w:rPr>
          <w:rFonts w:cs="Times New Roman"/>
          <w:kern w:val="0"/>
          <w:sz w:val="24"/>
          <w:szCs w:val="24"/>
        </w:rPr>
        <w:t xml:space="preserve"> and AFI (or UV) as comparison,</w:t>
      </w:r>
      <w:r w:rsidRPr="000A0F87">
        <w:rPr>
          <w:rFonts w:cs="Times New Roman" w:hint="eastAsia"/>
          <w:kern w:val="0"/>
          <w:sz w:val="24"/>
          <w:szCs w:val="24"/>
        </w:rPr>
        <w:t xml:space="preserve"> the </w:t>
      </w:r>
      <w:r w:rsidRPr="000A0F87">
        <w:rPr>
          <w:rFonts w:cs="Times New Roman"/>
          <w:kern w:val="0"/>
          <w:sz w:val="24"/>
          <w:szCs w:val="24"/>
        </w:rPr>
        <w:t>relations</w:t>
      </w:r>
      <w:r w:rsidRPr="000A0F87">
        <w:rPr>
          <w:rFonts w:cs="Times New Roman" w:hint="eastAsia"/>
          <w:kern w:val="0"/>
          <w:sz w:val="24"/>
          <w:szCs w:val="24"/>
        </w:rPr>
        <w:t xml:space="preserve"> between WSOC and AFI for six </w:t>
      </w:r>
      <w:r w:rsidRPr="000A0F87">
        <w:rPr>
          <w:rFonts w:cs="Times New Roman"/>
          <w:kern w:val="0"/>
          <w:sz w:val="24"/>
          <w:szCs w:val="24"/>
        </w:rPr>
        <w:t>stage</w:t>
      </w:r>
      <w:r w:rsidRPr="000A0F87">
        <w:rPr>
          <w:rFonts w:cs="Times New Roman" w:hint="eastAsia"/>
          <w:kern w:val="0"/>
          <w:sz w:val="24"/>
          <w:szCs w:val="24"/>
        </w:rPr>
        <w:t xml:space="preserve"> particles were analy</w:t>
      </w:r>
      <w:r w:rsidRPr="000A0F87">
        <w:rPr>
          <w:rFonts w:cs="Times New Roman"/>
          <w:kern w:val="0"/>
          <w:sz w:val="24"/>
          <w:szCs w:val="24"/>
        </w:rPr>
        <w:t>z</w:t>
      </w:r>
      <w:r w:rsidRPr="000A0F87">
        <w:rPr>
          <w:rFonts w:cs="Times New Roman" w:hint="eastAsia"/>
          <w:kern w:val="0"/>
          <w:sz w:val="24"/>
          <w:szCs w:val="24"/>
        </w:rPr>
        <w:t>ed</w:t>
      </w:r>
      <w:r w:rsidRPr="000A0F87">
        <w:rPr>
          <w:rFonts w:cs="Times New Roman"/>
          <w:kern w:val="0"/>
          <w:sz w:val="24"/>
          <w:szCs w:val="24"/>
        </w:rPr>
        <w:t>.”</w:t>
      </w:r>
    </w:p>
    <w:p w14:paraId="208E7DCB" w14:textId="77777777" w:rsidR="000A0F87" w:rsidRPr="000A0F87" w:rsidRDefault="000A0F87" w:rsidP="00093D0E">
      <w:pPr>
        <w:rPr>
          <w:rFonts w:cs="Times New Roman"/>
          <w:kern w:val="0"/>
          <w:sz w:val="24"/>
          <w:szCs w:val="24"/>
        </w:rPr>
      </w:pPr>
    </w:p>
    <w:p w14:paraId="157C9650" w14:textId="77777777" w:rsidR="000A0F87" w:rsidRPr="000A0F87" w:rsidRDefault="000A0F87" w:rsidP="00093D0E">
      <w:pPr>
        <w:rPr>
          <w:rFonts w:cs="Times New Roman"/>
          <w:kern w:val="0"/>
          <w:sz w:val="24"/>
          <w:szCs w:val="24"/>
        </w:rPr>
      </w:pPr>
      <w:r w:rsidRPr="000A0F87">
        <w:rPr>
          <w:rFonts w:cs="Times New Roman"/>
          <w:kern w:val="0"/>
          <w:sz w:val="24"/>
          <w:szCs w:val="24"/>
        </w:rPr>
        <w:t>In SI section 1</w:t>
      </w:r>
    </w:p>
    <w:p w14:paraId="679F2C10" w14:textId="77777777" w:rsidR="000A0F87" w:rsidRPr="000A0F87" w:rsidRDefault="000A0F87" w:rsidP="00093D0E">
      <w:pPr>
        <w:rPr>
          <w:rFonts w:cs="Times New Roman"/>
          <w:kern w:val="0"/>
          <w:sz w:val="24"/>
          <w:szCs w:val="24"/>
        </w:rPr>
      </w:pPr>
      <w:r w:rsidRPr="000A0F87">
        <w:rPr>
          <w:rFonts w:cs="Times New Roman"/>
          <w:kern w:val="0"/>
          <w:sz w:val="24"/>
          <w:szCs w:val="24"/>
        </w:rPr>
        <w:t>“The fluorescence properties present in an EEM spectrum are multifactor triggered results of concentrations, chemical compositions, and even co-existing ions of carbonate species in WSOC. The principle of GRA is to estimate the similarity and degree of the compactness among factors based on the geometric shape of the different sequences. To perform GRA, references and comparison sequences should be selected and converted to the dimensionless format. The grey relational coefficients ξ of the series and grey relational degree are calculated as follows:</w:t>
      </w:r>
    </w:p>
    <w:p w14:paraId="606A5A12" w14:textId="77777777" w:rsidR="000A0F87" w:rsidRPr="000A0F87" w:rsidRDefault="00F448B9" w:rsidP="00093D0E">
      <w:pPr>
        <w:rPr>
          <w:rFonts w:cs="Times New Roman"/>
          <w:kern w:val="0"/>
          <w:sz w:val="24"/>
          <w:szCs w:val="24"/>
          <w:lang w:val="en-GB"/>
        </w:rPr>
      </w:pPr>
      <m:oMath>
        <m:sSub>
          <m:sSubPr>
            <m:ctrlPr>
              <w:rPr>
                <w:rFonts w:ascii="Cambria Math" w:hAnsi="Cambria Math" w:cs="Times New Roman"/>
                <w:kern w:val="0"/>
                <w:sz w:val="24"/>
                <w:szCs w:val="24"/>
                <w:lang w:val="en-GB"/>
              </w:rPr>
            </m:ctrlPr>
          </m:sSubPr>
          <m:e>
            <m:r>
              <w:rPr>
                <w:rFonts w:ascii="Cambria Math" w:hAnsi="Cambria Math" w:cs="Times New Roman"/>
                <w:kern w:val="0"/>
                <w:sz w:val="24"/>
                <w:szCs w:val="24"/>
                <w:lang w:val="en-GB"/>
              </w:rPr>
              <m:t>ξ</m:t>
            </m:r>
          </m:e>
          <m:sub>
            <m:r>
              <w:rPr>
                <w:rFonts w:ascii="Cambria Math" w:hAnsi="Cambria Math" w:cs="Times New Roman"/>
                <w:kern w:val="0"/>
                <w:sz w:val="24"/>
                <w:szCs w:val="24"/>
                <w:lang w:val="en-GB"/>
              </w:rPr>
              <m:t>i</m:t>
            </m:r>
          </m:sub>
        </m:sSub>
        <m:d>
          <m:dPr>
            <m:ctrlPr>
              <w:rPr>
                <w:rFonts w:ascii="Cambria Math" w:hAnsi="Cambria Math" w:cs="Times New Roman"/>
                <w:kern w:val="0"/>
                <w:sz w:val="24"/>
                <w:szCs w:val="24"/>
                <w:lang w:val="en-GB"/>
              </w:rPr>
            </m:ctrlPr>
          </m:dPr>
          <m:e>
            <m:r>
              <w:rPr>
                <w:rFonts w:ascii="Cambria Math" w:hAnsi="Cambria Math" w:cs="Times New Roman"/>
                <w:kern w:val="0"/>
                <w:sz w:val="24"/>
                <w:szCs w:val="24"/>
                <w:lang w:val="en-GB"/>
              </w:rPr>
              <m:t>k</m:t>
            </m:r>
          </m:e>
        </m:d>
        <m:r>
          <m:rPr>
            <m:sty m:val="p"/>
          </m:rPr>
          <w:rPr>
            <w:rFonts w:ascii="Cambria Math" w:hAnsi="Cambria Math" w:cs="Times New Roman"/>
            <w:kern w:val="0"/>
            <w:sz w:val="24"/>
            <w:szCs w:val="24"/>
            <w:lang w:val="en-GB"/>
          </w:rPr>
          <m:t>=</m:t>
        </m:r>
        <m:f>
          <m:fPr>
            <m:ctrlPr>
              <w:rPr>
                <w:rFonts w:ascii="Cambria Math" w:hAnsi="Cambria Math" w:cs="Times New Roman"/>
                <w:kern w:val="0"/>
                <w:sz w:val="24"/>
                <w:szCs w:val="24"/>
                <w:lang w:val="en-GB"/>
              </w:rPr>
            </m:ctrlPr>
          </m:fPr>
          <m:num>
            <m:func>
              <m:funcPr>
                <m:ctrlPr>
                  <w:rPr>
                    <w:rFonts w:ascii="Cambria Math" w:hAnsi="Cambria Math" w:cs="Times New Roman"/>
                    <w:kern w:val="0"/>
                    <w:sz w:val="24"/>
                    <w:szCs w:val="24"/>
                    <w:lang w:val="en-GB"/>
                  </w:rPr>
                </m:ctrlPr>
              </m:funcPr>
              <m:fName>
                <m:limLow>
                  <m:limLowPr>
                    <m:ctrlPr>
                      <w:rPr>
                        <w:rFonts w:ascii="Cambria Math" w:hAnsi="Cambria Math" w:cs="Times New Roman"/>
                        <w:kern w:val="0"/>
                        <w:sz w:val="24"/>
                        <w:szCs w:val="24"/>
                        <w:lang w:val="en-GB"/>
                      </w:rPr>
                    </m:ctrlPr>
                  </m:limLowPr>
                  <m:e>
                    <m:r>
                      <m:rPr>
                        <m:sty m:val="p"/>
                      </m:rPr>
                      <w:rPr>
                        <w:rFonts w:ascii="Cambria Math" w:hAnsi="Cambria Math" w:cs="Times New Roman"/>
                        <w:kern w:val="0"/>
                        <w:sz w:val="24"/>
                        <w:szCs w:val="24"/>
                        <w:lang w:val="en-GB"/>
                      </w:rPr>
                      <m:t>min</m:t>
                    </m:r>
                  </m:e>
                  <m:lim>
                    <m:r>
                      <w:rPr>
                        <w:rFonts w:ascii="Cambria Math" w:hAnsi="Cambria Math" w:cs="Times New Roman"/>
                        <w:kern w:val="0"/>
                        <w:sz w:val="24"/>
                        <w:szCs w:val="24"/>
                        <w:lang w:val="en-GB"/>
                      </w:rPr>
                      <m:t>i</m:t>
                    </m:r>
                  </m:lim>
                </m:limLow>
              </m:fName>
              <m:e>
                <m:func>
                  <m:funcPr>
                    <m:ctrlPr>
                      <w:rPr>
                        <w:rFonts w:ascii="Cambria Math" w:hAnsi="Cambria Math" w:cs="Times New Roman"/>
                        <w:kern w:val="0"/>
                        <w:sz w:val="24"/>
                        <w:szCs w:val="24"/>
                        <w:lang w:val="en-GB"/>
                      </w:rPr>
                    </m:ctrlPr>
                  </m:funcPr>
                  <m:fName>
                    <m:limLow>
                      <m:limLowPr>
                        <m:ctrlPr>
                          <w:rPr>
                            <w:rFonts w:ascii="Cambria Math" w:hAnsi="Cambria Math" w:cs="Times New Roman"/>
                            <w:kern w:val="0"/>
                            <w:sz w:val="24"/>
                            <w:szCs w:val="24"/>
                            <w:lang w:val="en-GB"/>
                          </w:rPr>
                        </m:ctrlPr>
                      </m:limLowPr>
                      <m:e>
                        <m:r>
                          <m:rPr>
                            <m:sty m:val="p"/>
                          </m:rPr>
                          <w:rPr>
                            <w:rFonts w:ascii="Cambria Math" w:hAnsi="Cambria Math" w:cs="Times New Roman"/>
                            <w:kern w:val="0"/>
                            <w:sz w:val="24"/>
                            <w:szCs w:val="24"/>
                            <w:lang w:val="en-GB"/>
                          </w:rPr>
                          <m:t>min</m:t>
                        </m:r>
                      </m:e>
                      <m:lim>
                        <m:r>
                          <w:rPr>
                            <w:rFonts w:ascii="Cambria Math" w:hAnsi="Cambria Math" w:cs="Times New Roman"/>
                            <w:kern w:val="0"/>
                            <w:sz w:val="24"/>
                            <w:szCs w:val="24"/>
                            <w:lang w:val="en-GB"/>
                          </w:rPr>
                          <m:t>k</m:t>
                        </m:r>
                      </m:lim>
                    </m:limLow>
                  </m:fName>
                  <m:e>
                    <m:d>
                      <m:dPr>
                        <m:begChr m:val="|"/>
                        <m:endChr m:val="|"/>
                        <m:ctrlPr>
                          <w:rPr>
                            <w:rFonts w:ascii="Cambria Math" w:hAnsi="Cambria Math" w:cs="Times New Roman"/>
                            <w:kern w:val="0"/>
                            <w:sz w:val="24"/>
                            <w:szCs w:val="24"/>
                            <w:lang w:val="en-GB"/>
                          </w:rPr>
                        </m:ctrlPr>
                      </m:dPr>
                      <m:e>
                        <m:r>
                          <w:rPr>
                            <w:rFonts w:ascii="Cambria Math" w:hAnsi="Cambria Math" w:cs="Times New Roman"/>
                            <w:kern w:val="0"/>
                            <w:sz w:val="24"/>
                            <w:szCs w:val="24"/>
                            <w:lang w:val="en-GB"/>
                          </w:rPr>
                          <m:t>y</m:t>
                        </m:r>
                        <m:d>
                          <m:dPr>
                            <m:ctrlPr>
                              <w:rPr>
                                <w:rFonts w:ascii="Cambria Math" w:hAnsi="Cambria Math" w:cs="Times New Roman"/>
                                <w:kern w:val="0"/>
                                <w:sz w:val="24"/>
                                <w:szCs w:val="24"/>
                                <w:lang w:val="en-GB"/>
                              </w:rPr>
                            </m:ctrlPr>
                          </m:dPr>
                          <m:e>
                            <m:r>
                              <w:rPr>
                                <w:rFonts w:ascii="Cambria Math" w:hAnsi="Cambria Math" w:cs="Times New Roman"/>
                                <w:kern w:val="0"/>
                                <w:sz w:val="24"/>
                                <w:szCs w:val="24"/>
                                <w:lang w:val="en-GB"/>
                              </w:rPr>
                              <m:t>k</m:t>
                            </m:r>
                          </m:e>
                        </m:d>
                        <m:r>
                          <m:rPr>
                            <m:sty m:val="p"/>
                          </m:rPr>
                          <w:rPr>
                            <w:rFonts w:ascii="Cambria Math" w:hAnsi="Cambria Math" w:cs="Times New Roman"/>
                            <w:kern w:val="0"/>
                            <w:sz w:val="24"/>
                            <w:szCs w:val="24"/>
                            <w:lang w:val="en-GB"/>
                          </w:rPr>
                          <m:t>-</m:t>
                        </m:r>
                        <m:sSub>
                          <m:sSubPr>
                            <m:ctrlPr>
                              <w:rPr>
                                <w:rFonts w:ascii="Cambria Math" w:hAnsi="Cambria Math" w:cs="Times New Roman"/>
                                <w:kern w:val="0"/>
                                <w:sz w:val="24"/>
                                <w:szCs w:val="24"/>
                                <w:lang w:val="en-GB"/>
                              </w:rPr>
                            </m:ctrlPr>
                          </m:sSubPr>
                          <m:e>
                            <m:r>
                              <w:rPr>
                                <w:rFonts w:ascii="Cambria Math" w:hAnsi="Cambria Math" w:cs="Times New Roman"/>
                                <w:kern w:val="0"/>
                                <w:sz w:val="24"/>
                                <w:szCs w:val="24"/>
                                <w:lang w:val="en-GB"/>
                              </w:rPr>
                              <m:t>x</m:t>
                            </m:r>
                          </m:e>
                          <m:sub>
                            <m:r>
                              <w:rPr>
                                <w:rFonts w:ascii="Cambria Math" w:hAnsi="Cambria Math" w:cs="Times New Roman"/>
                                <w:kern w:val="0"/>
                                <w:sz w:val="24"/>
                                <w:szCs w:val="24"/>
                                <w:lang w:val="en-GB"/>
                              </w:rPr>
                              <m:t>i</m:t>
                            </m:r>
                          </m:sub>
                        </m:sSub>
                        <m:r>
                          <m:rPr>
                            <m:sty m:val="p"/>
                          </m:rPr>
                          <w:rPr>
                            <w:rFonts w:ascii="Cambria Math" w:hAnsi="Cambria Math" w:cs="Times New Roman"/>
                            <w:kern w:val="0"/>
                            <w:sz w:val="24"/>
                            <w:szCs w:val="24"/>
                            <w:lang w:val="en-GB"/>
                          </w:rPr>
                          <m:t>(</m:t>
                        </m:r>
                        <m:r>
                          <w:rPr>
                            <w:rFonts w:ascii="Cambria Math" w:hAnsi="Cambria Math" w:cs="Times New Roman"/>
                            <w:kern w:val="0"/>
                            <w:sz w:val="24"/>
                            <w:szCs w:val="24"/>
                            <w:lang w:val="en-GB"/>
                          </w:rPr>
                          <m:t>k</m:t>
                        </m:r>
                        <m:r>
                          <m:rPr>
                            <m:sty m:val="p"/>
                          </m:rPr>
                          <w:rPr>
                            <w:rFonts w:ascii="Cambria Math" w:hAnsi="Cambria Math" w:cs="Times New Roman"/>
                            <w:kern w:val="0"/>
                            <w:sz w:val="24"/>
                            <w:szCs w:val="24"/>
                            <w:lang w:val="en-GB"/>
                          </w:rPr>
                          <m:t>)</m:t>
                        </m:r>
                      </m:e>
                    </m:d>
                    <m:r>
                      <m:rPr>
                        <m:sty m:val="p"/>
                      </m:rPr>
                      <w:rPr>
                        <w:rFonts w:ascii="Cambria Math" w:hAnsi="Cambria Math" w:cs="Times New Roman"/>
                        <w:kern w:val="0"/>
                        <w:sz w:val="24"/>
                        <w:szCs w:val="24"/>
                        <w:lang w:val="en-GB"/>
                      </w:rPr>
                      <m:t>+</m:t>
                    </m:r>
                    <m:r>
                      <w:rPr>
                        <w:rFonts w:ascii="Cambria Math" w:hAnsi="Cambria Math" w:cs="Times New Roman"/>
                        <w:kern w:val="0"/>
                        <w:sz w:val="24"/>
                        <w:szCs w:val="24"/>
                        <w:lang w:val="en-GB"/>
                      </w:rPr>
                      <m:t>ρ</m:t>
                    </m:r>
                    <m:func>
                      <m:funcPr>
                        <m:ctrlPr>
                          <w:rPr>
                            <w:rFonts w:ascii="Cambria Math" w:hAnsi="Cambria Math" w:cs="Times New Roman"/>
                            <w:kern w:val="0"/>
                            <w:sz w:val="24"/>
                            <w:szCs w:val="24"/>
                            <w:lang w:val="en-GB"/>
                          </w:rPr>
                        </m:ctrlPr>
                      </m:funcPr>
                      <m:fName>
                        <m:limLow>
                          <m:limLowPr>
                            <m:ctrlPr>
                              <w:rPr>
                                <w:rFonts w:ascii="Cambria Math" w:hAnsi="Cambria Math" w:cs="Times New Roman"/>
                                <w:kern w:val="0"/>
                                <w:sz w:val="24"/>
                                <w:szCs w:val="24"/>
                                <w:lang w:val="en-GB"/>
                              </w:rPr>
                            </m:ctrlPr>
                          </m:limLowPr>
                          <m:e>
                            <m:r>
                              <m:rPr>
                                <m:sty m:val="p"/>
                              </m:rPr>
                              <w:rPr>
                                <w:rFonts w:ascii="Cambria Math" w:hAnsi="Cambria Math" w:cs="Times New Roman"/>
                                <w:kern w:val="0"/>
                                <w:sz w:val="24"/>
                                <w:szCs w:val="24"/>
                                <w:lang w:val="en-GB"/>
                              </w:rPr>
                              <m:t>max</m:t>
                            </m:r>
                          </m:e>
                          <m:lim>
                            <m:r>
                              <w:rPr>
                                <w:rFonts w:ascii="Cambria Math" w:hAnsi="Cambria Math" w:cs="Times New Roman"/>
                                <w:kern w:val="0"/>
                                <w:sz w:val="24"/>
                                <w:szCs w:val="24"/>
                                <w:lang w:val="en-GB"/>
                              </w:rPr>
                              <m:t>i</m:t>
                            </m:r>
                          </m:lim>
                        </m:limLow>
                      </m:fName>
                      <m:e>
                        <m:func>
                          <m:funcPr>
                            <m:ctrlPr>
                              <w:rPr>
                                <w:rFonts w:ascii="Cambria Math" w:hAnsi="Cambria Math" w:cs="Times New Roman"/>
                                <w:kern w:val="0"/>
                                <w:sz w:val="24"/>
                                <w:szCs w:val="24"/>
                                <w:lang w:val="en-GB"/>
                              </w:rPr>
                            </m:ctrlPr>
                          </m:funcPr>
                          <m:fName>
                            <m:limLow>
                              <m:limLowPr>
                                <m:ctrlPr>
                                  <w:rPr>
                                    <w:rFonts w:ascii="Cambria Math" w:hAnsi="Cambria Math" w:cs="Times New Roman"/>
                                    <w:kern w:val="0"/>
                                    <w:sz w:val="24"/>
                                    <w:szCs w:val="24"/>
                                    <w:lang w:val="en-GB"/>
                                  </w:rPr>
                                </m:ctrlPr>
                              </m:limLowPr>
                              <m:e>
                                <m:r>
                                  <m:rPr>
                                    <m:sty m:val="p"/>
                                  </m:rPr>
                                  <w:rPr>
                                    <w:rFonts w:ascii="Cambria Math" w:hAnsi="Cambria Math" w:cs="Times New Roman"/>
                                    <w:kern w:val="0"/>
                                    <w:sz w:val="24"/>
                                    <w:szCs w:val="24"/>
                                    <w:lang w:val="en-GB"/>
                                  </w:rPr>
                                  <m:t>max</m:t>
                                </m:r>
                              </m:e>
                              <m:lim>
                                <m:r>
                                  <w:rPr>
                                    <w:rFonts w:ascii="Cambria Math" w:hAnsi="Cambria Math" w:cs="Times New Roman"/>
                                    <w:kern w:val="0"/>
                                    <w:sz w:val="24"/>
                                    <w:szCs w:val="24"/>
                                    <w:lang w:val="en-GB"/>
                                  </w:rPr>
                                  <m:t>k</m:t>
                                </m:r>
                              </m:lim>
                            </m:limLow>
                          </m:fName>
                          <m:e>
                            <m:d>
                              <m:dPr>
                                <m:begChr m:val="|"/>
                                <m:endChr m:val="|"/>
                                <m:ctrlPr>
                                  <w:rPr>
                                    <w:rFonts w:ascii="Cambria Math" w:hAnsi="Cambria Math" w:cs="Times New Roman"/>
                                    <w:kern w:val="0"/>
                                    <w:sz w:val="24"/>
                                    <w:szCs w:val="24"/>
                                    <w:lang w:val="en-GB"/>
                                  </w:rPr>
                                </m:ctrlPr>
                              </m:dPr>
                              <m:e>
                                <m:r>
                                  <w:rPr>
                                    <w:rFonts w:ascii="Cambria Math" w:hAnsi="Cambria Math" w:cs="Times New Roman"/>
                                    <w:kern w:val="0"/>
                                    <w:sz w:val="24"/>
                                    <w:szCs w:val="24"/>
                                    <w:lang w:val="en-GB"/>
                                  </w:rPr>
                                  <m:t>y</m:t>
                                </m:r>
                                <m:d>
                                  <m:dPr>
                                    <m:ctrlPr>
                                      <w:rPr>
                                        <w:rFonts w:ascii="Cambria Math" w:hAnsi="Cambria Math" w:cs="Times New Roman"/>
                                        <w:kern w:val="0"/>
                                        <w:sz w:val="24"/>
                                        <w:szCs w:val="24"/>
                                        <w:lang w:val="en-GB"/>
                                      </w:rPr>
                                    </m:ctrlPr>
                                  </m:dPr>
                                  <m:e>
                                    <m:r>
                                      <w:rPr>
                                        <w:rFonts w:ascii="Cambria Math" w:hAnsi="Cambria Math" w:cs="Times New Roman"/>
                                        <w:kern w:val="0"/>
                                        <w:sz w:val="24"/>
                                        <w:szCs w:val="24"/>
                                        <w:lang w:val="en-GB"/>
                                      </w:rPr>
                                      <m:t>k</m:t>
                                    </m:r>
                                  </m:e>
                                </m:d>
                                <m:r>
                                  <m:rPr>
                                    <m:sty m:val="p"/>
                                  </m:rPr>
                                  <w:rPr>
                                    <w:rFonts w:ascii="Cambria Math" w:hAnsi="Cambria Math" w:cs="Times New Roman"/>
                                    <w:kern w:val="0"/>
                                    <w:sz w:val="24"/>
                                    <w:szCs w:val="24"/>
                                    <w:lang w:val="en-GB"/>
                                  </w:rPr>
                                  <m:t>-</m:t>
                                </m:r>
                                <m:sSub>
                                  <m:sSubPr>
                                    <m:ctrlPr>
                                      <w:rPr>
                                        <w:rFonts w:ascii="Cambria Math" w:hAnsi="Cambria Math" w:cs="Times New Roman"/>
                                        <w:kern w:val="0"/>
                                        <w:sz w:val="24"/>
                                        <w:szCs w:val="24"/>
                                        <w:lang w:val="en-GB"/>
                                      </w:rPr>
                                    </m:ctrlPr>
                                  </m:sSubPr>
                                  <m:e>
                                    <m:r>
                                      <w:rPr>
                                        <w:rFonts w:ascii="Cambria Math" w:hAnsi="Cambria Math" w:cs="Times New Roman"/>
                                        <w:kern w:val="0"/>
                                        <w:sz w:val="24"/>
                                        <w:szCs w:val="24"/>
                                        <w:lang w:val="en-GB"/>
                                      </w:rPr>
                                      <m:t>x</m:t>
                                    </m:r>
                                  </m:e>
                                  <m:sub>
                                    <m:r>
                                      <w:rPr>
                                        <w:rFonts w:ascii="Cambria Math" w:hAnsi="Cambria Math" w:cs="Times New Roman"/>
                                        <w:kern w:val="0"/>
                                        <w:sz w:val="24"/>
                                        <w:szCs w:val="24"/>
                                        <w:lang w:val="en-GB"/>
                                      </w:rPr>
                                      <m:t>i</m:t>
                                    </m:r>
                                  </m:sub>
                                </m:sSub>
                                <m:r>
                                  <m:rPr>
                                    <m:sty m:val="p"/>
                                  </m:rPr>
                                  <w:rPr>
                                    <w:rFonts w:ascii="Cambria Math" w:hAnsi="Cambria Math" w:cs="Times New Roman"/>
                                    <w:kern w:val="0"/>
                                    <w:sz w:val="24"/>
                                    <w:szCs w:val="24"/>
                                    <w:lang w:val="en-GB"/>
                                  </w:rPr>
                                  <m:t>(</m:t>
                                </m:r>
                                <m:r>
                                  <w:rPr>
                                    <w:rFonts w:ascii="Cambria Math" w:hAnsi="Cambria Math" w:cs="Times New Roman"/>
                                    <w:kern w:val="0"/>
                                    <w:sz w:val="24"/>
                                    <w:szCs w:val="24"/>
                                    <w:lang w:val="en-GB"/>
                                  </w:rPr>
                                  <m:t>k</m:t>
                                </m:r>
                                <m:r>
                                  <m:rPr>
                                    <m:sty m:val="p"/>
                                  </m:rPr>
                                  <w:rPr>
                                    <w:rFonts w:ascii="Cambria Math" w:hAnsi="Cambria Math" w:cs="Times New Roman"/>
                                    <w:kern w:val="0"/>
                                    <w:sz w:val="24"/>
                                    <w:szCs w:val="24"/>
                                    <w:lang w:val="en-GB"/>
                                  </w:rPr>
                                  <m:t>)</m:t>
                                </m:r>
                              </m:e>
                            </m:d>
                          </m:e>
                        </m:func>
                      </m:e>
                    </m:func>
                  </m:e>
                </m:func>
              </m:e>
            </m:func>
          </m:num>
          <m:den>
            <m:d>
              <m:dPr>
                <m:begChr m:val="|"/>
                <m:endChr m:val="|"/>
                <m:ctrlPr>
                  <w:rPr>
                    <w:rFonts w:ascii="Cambria Math" w:hAnsi="Cambria Math" w:cs="Times New Roman"/>
                    <w:kern w:val="0"/>
                    <w:sz w:val="24"/>
                    <w:szCs w:val="24"/>
                    <w:lang w:val="en-GB"/>
                  </w:rPr>
                </m:ctrlPr>
              </m:dPr>
              <m:e>
                <m:r>
                  <w:rPr>
                    <w:rFonts w:ascii="Cambria Math" w:hAnsi="Cambria Math" w:cs="Times New Roman"/>
                    <w:kern w:val="0"/>
                    <w:sz w:val="24"/>
                    <w:szCs w:val="24"/>
                    <w:lang w:val="en-GB"/>
                  </w:rPr>
                  <m:t>y</m:t>
                </m:r>
                <m:d>
                  <m:dPr>
                    <m:ctrlPr>
                      <w:rPr>
                        <w:rFonts w:ascii="Cambria Math" w:hAnsi="Cambria Math" w:cs="Times New Roman"/>
                        <w:kern w:val="0"/>
                        <w:sz w:val="24"/>
                        <w:szCs w:val="24"/>
                        <w:lang w:val="en-GB"/>
                      </w:rPr>
                    </m:ctrlPr>
                  </m:dPr>
                  <m:e>
                    <m:r>
                      <w:rPr>
                        <w:rFonts w:ascii="Cambria Math" w:hAnsi="Cambria Math" w:cs="Times New Roman"/>
                        <w:kern w:val="0"/>
                        <w:sz w:val="24"/>
                        <w:szCs w:val="24"/>
                        <w:lang w:val="en-GB"/>
                      </w:rPr>
                      <m:t>k</m:t>
                    </m:r>
                  </m:e>
                </m:d>
                <m:r>
                  <m:rPr>
                    <m:sty m:val="p"/>
                  </m:rPr>
                  <w:rPr>
                    <w:rFonts w:ascii="Cambria Math" w:hAnsi="Cambria Math" w:cs="Times New Roman"/>
                    <w:kern w:val="0"/>
                    <w:sz w:val="24"/>
                    <w:szCs w:val="24"/>
                    <w:lang w:val="en-GB"/>
                  </w:rPr>
                  <m:t>-</m:t>
                </m:r>
                <m:sSub>
                  <m:sSubPr>
                    <m:ctrlPr>
                      <w:rPr>
                        <w:rFonts w:ascii="Cambria Math" w:hAnsi="Cambria Math" w:cs="Times New Roman"/>
                        <w:kern w:val="0"/>
                        <w:sz w:val="24"/>
                        <w:szCs w:val="24"/>
                        <w:lang w:val="en-GB"/>
                      </w:rPr>
                    </m:ctrlPr>
                  </m:sSubPr>
                  <m:e>
                    <m:r>
                      <w:rPr>
                        <w:rFonts w:ascii="Cambria Math" w:hAnsi="Cambria Math" w:cs="Times New Roman"/>
                        <w:kern w:val="0"/>
                        <w:sz w:val="24"/>
                        <w:szCs w:val="24"/>
                        <w:lang w:val="en-GB"/>
                      </w:rPr>
                      <m:t>x</m:t>
                    </m:r>
                  </m:e>
                  <m:sub>
                    <m:r>
                      <w:rPr>
                        <w:rFonts w:ascii="Cambria Math" w:hAnsi="Cambria Math" w:cs="Times New Roman"/>
                        <w:kern w:val="0"/>
                        <w:sz w:val="24"/>
                        <w:szCs w:val="24"/>
                        <w:lang w:val="en-GB"/>
                      </w:rPr>
                      <m:t>i</m:t>
                    </m:r>
                  </m:sub>
                </m:sSub>
                <m:r>
                  <m:rPr>
                    <m:sty m:val="p"/>
                  </m:rPr>
                  <w:rPr>
                    <w:rFonts w:ascii="Cambria Math" w:hAnsi="Cambria Math" w:cs="Times New Roman"/>
                    <w:kern w:val="0"/>
                    <w:sz w:val="24"/>
                    <w:szCs w:val="24"/>
                    <w:lang w:val="en-GB"/>
                  </w:rPr>
                  <m:t>(</m:t>
                </m:r>
                <m:r>
                  <w:rPr>
                    <w:rFonts w:ascii="Cambria Math" w:hAnsi="Cambria Math" w:cs="Times New Roman"/>
                    <w:kern w:val="0"/>
                    <w:sz w:val="24"/>
                    <w:szCs w:val="24"/>
                    <w:lang w:val="en-GB"/>
                  </w:rPr>
                  <m:t>k</m:t>
                </m:r>
                <m:r>
                  <m:rPr>
                    <m:sty m:val="p"/>
                  </m:rPr>
                  <w:rPr>
                    <w:rFonts w:ascii="Cambria Math" w:hAnsi="Cambria Math" w:cs="Times New Roman"/>
                    <w:kern w:val="0"/>
                    <w:sz w:val="24"/>
                    <w:szCs w:val="24"/>
                    <w:lang w:val="en-GB"/>
                  </w:rPr>
                  <m:t>)</m:t>
                </m:r>
              </m:e>
            </m:d>
            <m:r>
              <m:rPr>
                <m:sty m:val="p"/>
              </m:rPr>
              <w:rPr>
                <w:rFonts w:ascii="Cambria Math" w:hAnsi="Cambria Math" w:cs="Times New Roman"/>
                <w:kern w:val="0"/>
                <w:sz w:val="24"/>
                <w:szCs w:val="24"/>
                <w:lang w:val="en-GB"/>
              </w:rPr>
              <m:t>+</m:t>
            </m:r>
            <m:r>
              <w:rPr>
                <w:rFonts w:ascii="Cambria Math" w:hAnsi="Cambria Math" w:cs="Times New Roman"/>
                <w:kern w:val="0"/>
                <w:sz w:val="24"/>
                <w:szCs w:val="24"/>
                <w:lang w:val="en-GB"/>
              </w:rPr>
              <m:t>ρ</m:t>
            </m:r>
            <m:func>
              <m:funcPr>
                <m:ctrlPr>
                  <w:rPr>
                    <w:rFonts w:ascii="Cambria Math" w:hAnsi="Cambria Math" w:cs="Times New Roman"/>
                    <w:kern w:val="0"/>
                    <w:sz w:val="24"/>
                    <w:szCs w:val="24"/>
                    <w:lang w:val="en-GB"/>
                  </w:rPr>
                </m:ctrlPr>
              </m:funcPr>
              <m:fName>
                <m:limLow>
                  <m:limLowPr>
                    <m:ctrlPr>
                      <w:rPr>
                        <w:rFonts w:ascii="Cambria Math" w:hAnsi="Cambria Math" w:cs="Times New Roman"/>
                        <w:kern w:val="0"/>
                        <w:sz w:val="24"/>
                        <w:szCs w:val="24"/>
                        <w:lang w:val="en-GB"/>
                      </w:rPr>
                    </m:ctrlPr>
                  </m:limLowPr>
                  <m:e>
                    <m:r>
                      <m:rPr>
                        <m:sty m:val="p"/>
                      </m:rPr>
                      <w:rPr>
                        <w:rFonts w:ascii="Cambria Math" w:hAnsi="Cambria Math" w:cs="Times New Roman"/>
                        <w:kern w:val="0"/>
                        <w:sz w:val="24"/>
                        <w:szCs w:val="24"/>
                        <w:lang w:val="en-GB"/>
                      </w:rPr>
                      <m:t>max</m:t>
                    </m:r>
                  </m:e>
                  <m:lim>
                    <m:r>
                      <w:rPr>
                        <w:rFonts w:ascii="Cambria Math" w:hAnsi="Cambria Math" w:cs="Times New Roman"/>
                        <w:kern w:val="0"/>
                        <w:sz w:val="24"/>
                        <w:szCs w:val="24"/>
                        <w:lang w:val="en-GB"/>
                      </w:rPr>
                      <m:t>i</m:t>
                    </m:r>
                  </m:lim>
                </m:limLow>
              </m:fName>
              <m:e>
                <m:func>
                  <m:funcPr>
                    <m:ctrlPr>
                      <w:rPr>
                        <w:rFonts w:ascii="Cambria Math" w:hAnsi="Cambria Math" w:cs="Times New Roman"/>
                        <w:kern w:val="0"/>
                        <w:sz w:val="24"/>
                        <w:szCs w:val="24"/>
                        <w:lang w:val="en-GB"/>
                      </w:rPr>
                    </m:ctrlPr>
                  </m:funcPr>
                  <m:fName>
                    <m:limLow>
                      <m:limLowPr>
                        <m:ctrlPr>
                          <w:rPr>
                            <w:rFonts w:ascii="Cambria Math" w:hAnsi="Cambria Math" w:cs="Times New Roman"/>
                            <w:kern w:val="0"/>
                            <w:sz w:val="24"/>
                            <w:szCs w:val="24"/>
                            <w:lang w:val="en-GB"/>
                          </w:rPr>
                        </m:ctrlPr>
                      </m:limLowPr>
                      <m:e>
                        <m:r>
                          <m:rPr>
                            <m:sty m:val="p"/>
                          </m:rPr>
                          <w:rPr>
                            <w:rFonts w:ascii="Cambria Math" w:hAnsi="Cambria Math" w:cs="Times New Roman"/>
                            <w:kern w:val="0"/>
                            <w:sz w:val="24"/>
                            <w:szCs w:val="24"/>
                            <w:lang w:val="en-GB"/>
                          </w:rPr>
                          <m:t>max</m:t>
                        </m:r>
                      </m:e>
                      <m:lim>
                        <m:r>
                          <w:rPr>
                            <w:rFonts w:ascii="Cambria Math" w:hAnsi="Cambria Math" w:cs="Times New Roman"/>
                            <w:kern w:val="0"/>
                            <w:sz w:val="24"/>
                            <w:szCs w:val="24"/>
                            <w:lang w:val="en-GB"/>
                          </w:rPr>
                          <m:t>k</m:t>
                        </m:r>
                      </m:lim>
                    </m:limLow>
                  </m:fName>
                  <m:e>
                    <m:d>
                      <m:dPr>
                        <m:begChr m:val="|"/>
                        <m:endChr m:val="|"/>
                        <m:ctrlPr>
                          <w:rPr>
                            <w:rFonts w:ascii="Cambria Math" w:hAnsi="Cambria Math" w:cs="Times New Roman"/>
                            <w:kern w:val="0"/>
                            <w:sz w:val="24"/>
                            <w:szCs w:val="24"/>
                            <w:lang w:val="en-GB"/>
                          </w:rPr>
                        </m:ctrlPr>
                      </m:dPr>
                      <m:e>
                        <m:r>
                          <w:rPr>
                            <w:rFonts w:ascii="Cambria Math" w:hAnsi="Cambria Math" w:cs="Times New Roman"/>
                            <w:kern w:val="0"/>
                            <w:sz w:val="24"/>
                            <w:szCs w:val="24"/>
                            <w:lang w:val="en-GB"/>
                          </w:rPr>
                          <m:t>y</m:t>
                        </m:r>
                        <m:d>
                          <m:dPr>
                            <m:ctrlPr>
                              <w:rPr>
                                <w:rFonts w:ascii="Cambria Math" w:hAnsi="Cambria Math" w:cs="Times New Roman"/>
                                <w:kern w:val="0"/>
                                <w:sz w:val="24"/>
                                <w:szCs w:val="24"/>
                                <w:lang w:val="en-GB"/>
                              </w:rPr>
                            </m:ctrlPr>
                          </m:dPr>
                          <m:e>
                            <m:r>
                              <w:rPr>
                                <w:rFonts w:ascii="Cambria Math" w:hAnsi="Cambria Math" w:cs="Times New Roman"/>
                                <w:kern w:val="0"/>
                                <w:sz w:val="24"/>
                                <w:szCs w:val="24"/>
                                <w:lang w:val="en-GB"/>
                              </w:rPr>
                              <m:t>k</m:t>
                            </m:r>
                          </m:e>
                        </m:d>
                        <m:r>
                          <m:rPr>
                            <m:sty m:val="p"/>
                          </m:rPr>
                          <w:rPr>
                            <w:rFonts w:ascii="Cambria Math" w:hAnsi="Cambria Math" w:cs="Times New Roman"/>
                            <w:kern w:val="0"/>
                            <w:sz w:val="24"/>
                            <w:szCs w:val="24"/>
                            <w:lang w:val="en-GB"/>
                          </w:rPr>
                          <m:t>-</m:t>
                        </m:r>
                        <m:sSub>
                          <m:sSubPr>
                            <m:ctrlPr>
                              <w:rPr>
                                <w:rFonts w:ascii="Cambria Math" w:hAnsi="Cambria Math" w:cs="Times New Roman"/>
                                <w:kern w:val="0"/>
                                <w:sz w:val="24"/>
                                <w:szCs w:val="24"/>
                                <w:lang w:val="en-GB"/>
                              </w:rPr>
                            </m:ctrlPr>
                          </m:sSubPr>
                          <m:e>
                            <m:r>
                              <w:rPr>
                                <w:rFonts w:ascii="Cambria Math" w:hAnsi="Cambria Math" w:cs="Times New Roman"/>
                                <w:kern w:val="0"/>
                                <w:sz w:val="24"/>
                                <w:szCs w:val="24"/>
                                <w:lang w:val="en-GB"/>
                              </w:rPr>
                              <m:t>x</m:t>
                            </m:r>
                          </m:e>
                          <m:sub>
                            <m:r>
                              <w:rPr>
                                <w:rFonts w:ascii="Cambria Math" w:hAnsi="Cambria Math" w:cs="Times New Roman"/>
                                <w:kern w:val="0"/>
                                <w:sz w:val="24"/>
                                <w:szCs w:val="24"/>
                                <w:lang w:val="en-GB"/>
                              </w:rPr>
                              <m:t>i</m:t>
                            </m:r>
                          </m:sub>
                        </m:sSub>
                        <m:r>
                          <m:rPr>
                            <m:sty m:val="p"/>
                          </m:rPr>
                          <w:rPr>
                            <w:rFonts w:ascii="Cambria Math" w:hAnsi="Cambria Math" w:cs="Times New Roman"/>
                            <w:kern w:val="0"/>
                            <w:sz w:val="24"/>
                            <w:szCs w:val="24"/>
                            <w:lang w:val="en-GB"/>
                          </w:rPr>
                          <m:t>(</m:t>
                        </m:r>
                        <m:r>
                          <w:rPr>
                            <w:rFonts w:ascii="Cambria Math" w:hAnsi="Cambria Math" w:cs="Times New Roman"/>
                            <w:kern w:val="0"/>
                            <w:sz w:val="24"/>
                            <w:szCs w:val="24"/>
                            <w:lang w:val="en-GB"/>
                          </w:rPr>
                          <m:t>k</m:t>
                        </m:r>
                        <m:r>
                          <m:rPr>
                            <m:sty m:val="p"/>
                          </m:rPr>
                          <w:rPr>
                            <w:rFonts w:ascii="Cambria Math" w:hAnsi="Cambria Math" w:cs="Times New Roman"/>
                            <w:kern w:val="0"/>
                            <w:sz w:val="24"/>
                            <w:szCs w:val="24"/>
                            <w:lang w:val="en-GB"/>
                          </w:rPr>
                          <m:t>)</m:t>
                        </m:r>
                      </m:e>
                    </m:d>
                  </m:e>
                </m:func>
              </m:e>
            </m:func>
          </m:den>
        </m:f>
      </m:oMath>
      <w:r w:rsidR="000A0F87" w:rsidRPr="000A0F87">
        <w:rPr>
          <w:rFonts w:cs="Times New Roman"/>
          <w:kern w:val="0"/>
          <w:sz w:val="24"/>
          <w:szCs w:val="24"/>
          <w:lang w:val="en-GB"/>
        </w:rPr>
        <w:t xml:space="preserve">                             (1)</w:t>
      </w:r>
    </w:p>
    <w:p w14:paraId="6B0E52D5" w14:textId="77777777" w:rsidR="000A0F87" w:rsidRPr="000A0F87" w:rsidRDefault="00F448B9" w:rsidP="00093D0E">
      <w:pPr>
        <w:rPr>
          <w:rFonts w:cs="Times New Roman"/>
          <w:kern w:val="0"/>
          <w:sz w:val="24"/>
          <w:szCs w:val="24"/>
          <w:lang w:val="en-GB"/>
        </w:rPr>
      </w:pPr>
      <m:oMath>
        <m:sSub>
          <m:sSubPr>
            <m:ctrlPr>
              <w:rPr>
                <w:rFonts w:ascii="Cambria Math" w:hAnsi="Cambria Math" w:cs="Times New Roman"/>
                <w:i/>
                <w:kern w:val="0"/>
                <w:sz w:val="24"/>
                <w:szCs w:val="24"/>
                <w:lang w:val="en-GB"/>
              </w:rPr>
            </m:ctrlPr>
          </m:sSubPr>
          <m:e>
            <m:r>
              <w:rPr>
                <w:rFonts w:ascii="Cambria Math" w:hAnsi="Cambria Math" w:cs="Times New Roman"/>
                <w:kern w:val="0"/>
                <w:sz w:val="24"/>
                <w:szCs w:val="24"/>
                <w:lang w:val="en-GB"/>
              </w:rPr>
              <m:t>GRD</m:t>
            </m:r>
          </m:e>
          <m:sub>
            <m:r>
              <w:rPr>
                <w:rFonts w:ascii="Cambria Math" w:hAnsi="Cambria Math" w:cs="Times New Roman"/>
                <w:kern w:val="0"/>
                <w:sz w:val="24"/>
                <w:szCs w:val="24"/>
                <w:lang w:val="en-GB"/>
              </w:rPr>
              <m:t>i</m:t>
            </m:r>
          </m:sub>
        </m:sSub>
        <m:r>
          <w:rPr>
            <w:rFonts w:ascii="Cambria Math" w:hAnsi="Cambria Math" w:cs="Times New Roman"/>
            <w:kern w:val="0"/>
            <w:sz w:val="24"/>
            <w:szCs w:val="24"/>
            <w:lang w:val="en-GB"/>
          </w:rPr>
          <m:t>=</m:t>
        </m:r>
        <m:f>
          <m:fPr>
            <m:ctrlPr>
              <w:rPr>
                <w:rFonts w:ascii="Cambria Math" w:hAnsi="Cambria Math" w:cs="Times New Roman"/>
                <w:i/>
                <w:kern w:val="0"/>
                <w:sz w:val="24"/>
                <w:szCs w:val="24"/>
                <w:lang w:val="en-GB"/>
              </w:rPr>
            </m:ctrlPr>
          </m:fPr>
          <m:num>
            <m:r>
              <w:rPr>
                <w:rFonts w:ascii="Cambria Math" w:hAnsi="Cambria Math" w:cs="Times New Roman"/>
                <w:kern w:val="0"/>
                <w:sz w:val="24"/>
                <w:szCs w:val="24"/>
                <w:lang w:val="en-GB"/>
              </w:rPr>
              <m:t>1</m:t>
            </m:r>
          </m:num>
          <m:den>
            <m:r>
              <w:rPr>
                <w:rFonts w:ascii="Cambria Math" w:hAnsi="Cambria Math" w:cs="Times New Roman"/>
                <w:kern w:val="0"/>
                <w:sz w:val="24"/>
                <w:szCs w:val="24"/>
                <w:lang w:val="en-GB"/>
              </w:rPr>
              <m:t>n</m:t>
            </m:r>
          </m:den>
        </m:f>
        <m:nary>
          <m:naryPr>
            <m:chr m:val="∑"/>
            <m:limLoc m:val="subSup"/>
            <m:ctrlPr>
              <w:rPr>
                <w:rFonts w:ascii="Cambria Math" w:hAnsi="Cambria Math" w:cs="Times New Roman"/>
                <w:i/>
                <w:kern w:val="0"/>
                <w:sz w:val="24"/>
                <w:szCs w:val="24"/>
                <w:lang w:val="en-GB"/>
              </w:rPr>
            </m:ctrlPr>
          </m:naryPr>
          <m:sub>
            <m:r>
              <w:rPr>
                <w:rFonts w:ascii="Cambria Math" w:hAnsi="Cambria Math" w:cs="Times New Roman"/>
                <w:kern w:val="0"/>
                <w:sz w:val="24"/>
                <w:szCs w:val="24"/>
                <w:lang w:val="en-GB"/>
              </w:rPr>
              <m:t>k=1</m:t>
            </m:r>
          </m:sub>
          <m:sup>
            <m:r>
              <w:rPr>
                <w:rFonts w:ascii="Cambria Math" w:hAnsi="Cambria Math" w:cs="Times New Roman"/>
                <w:kern w:val="0"/>
                <w:sz w:val="24"/>
                <w:szCs w:val="24"/>
                <w:lang w:val="en-GB"/>
              </w:rPr>
              <m:t>n</m:t>
            </m:r>
          </m:sup>
          <m:e>
            <m:sSub>
              <m:sSubPr>
                <m:ctrlPr>
                  <w:rPr>
                    <w:rFonts w:ascii="Cambria Math" w:hAnsi="Cambria Math" w:cs="Times New Roman"/>
                    <w:i/>
                    <w:kern w:val="0"/>
                    <w:sz w:val="24"/>
                    <w:szCs w:val="24"/>
                    <w:lang w:val="en-GB"/>
                  </w:rPr>
                </m:ctrlPr>
              </m:sSubPr>
              <m:e>
                <m:r>
                  <w:rPr>
                    <w:rFonts w:ascii="Cambria Math" w:hAnsi="Cambria Math" w:cs="Times New Roman"/>
                    <w:kern w:val="0"/>
                    <w:sz w:val="24"/>
                    <w:szCs w:val="24"/>
                    <w:lang w:val="en-GB"/>
                  </w:rPr>
                  <m:t>ξ</m:t>
                </m:r>
              </m:e>
              <m:sub>
                <m:r>
                  <w:rPr>
                    <w:rFonts w:ascii="Cambria Math" w:hAnsi="Cambria Math" w:cs="Times New Roman"/>
                    <w:kern w:val="0"/>
                    <w:sz w:val="24"/>
                    <w:szCs w:val="24"/>
                    <w:lang w:val="en-GB"/>
                  </w:rPr>
                  <m:t>i</m:t>
                </m:r>
              </m:sub>
            </m:sSub>
            <m:d>
              <m:dPr>
                <m:ctrlPr>
                  <w:rPr>
                    <w:rFonts w:ascii="Cambria Math" w:hAnsi="Cambria Math" w:cs="Times New Roman"/>
                    <w:i/>
                    <w:kern w:val="0"/>
                    <w:sz w:val="24"/>
                    <w:szCs w:val="24"/>
                    <w:lang w:val="en-GB"/>
                  </w:rPr>
                </m:ctrlPr>
              </m:dPr>
              <m:e>
                <m:r>
                  <w:rPr>
                    <w:rFonts w:ascii="Cambria Math" w:hAnsi="Cambria Math" w:cs="Times New Roman"/>
                    <w:kern w:val="0"/>
                    <w:sz w:val="24"/>
                    <w:szCs w:val="24"/>
                    <w:lang w:val="en-GB"/>
                  </w:rPr>
                  <m:t>k</m:t>
                </m:r>
              </m:e>
            </m:d>
            <m:r>
              <w:rPr>
                <w:rFonts w:ascii="Cambria Math" w:hAnsi="Cambria Math" w:cs="Times New Roman"/>
                <w:kern w:val="0"/>
                <w:sz w:val="24"/>
                <w:szCs w:val="24"/>
                <w:lang w:val="en-GB"/>
              </w:rPr>
              <m:t>,  k=1,2,…,n</m:t>
            </m:r>
          </m:e>
        </m:nary>
      </m:oMath>
      <w:r w:rsidR="000A0F87" w:rsidRPr="000A0F87">
        <w:rPr>
          <w:rFonts w:cs="Times New Roman"/>
          <w:kern w:val="0"/>
          <w:sz w:val="24"/>
          <w:szCs w:val="24"/>
          <w:lang w:val="en-GB"/>
        </w:rPr>
        <w:t xml:space="preserve">                                     (2)</w:t>
      </w:r>
    </w:p>
    <w:p w14:paraId="1F8C9D9B" w14:textId="77777777" w:rsidR="000A0F87" w:rsidRDefault="000A0F87" w:rsidP="00093D0E">
      <w:pPr>
        <w:rPr>
          <w:rFonts w:cs="Times New Roman"/>
          <w:kern w:val="0"/>
          <w:sz w:val="24"/>
          <w:szCs w:val="24"/>
        </w:rPr>
      </w:pPr>
      <w:r w:rsidRPr="000A0F87">
        <w:rPr>
          <w:rFonts w:cs="Times New Roman"/>
          <w:kern w:val="0"/>
          <w:sz w:val="24"/>
          <w:szCs w:val="24"/>
          <w:lang w:val="en-GB"/>
        </w:rPr>
        <w:t xml:space="preserve">In which </w:t>
      </w:r>
      <w:r w:rsidRPr="000A0F87">
        <w:rPr>
          <w:rFonts w:cs="Times New Roman"/>
          <w:i/>
          <w:iCs/>
          <w:kern w:val="0"/>
          <w:sz w:val="24"/>
          <w:szCs w:val="24"/>
          <w:lang w:val="en-GB"/>
        </w:rPr>
        <w:t>y</w:t>
      </w:r>
      <w:r w:rsidRPr="000A0F87">
        <w:rPr>
          <w:rFonts w:cs="Times New Roman"/>
          <w:kern w:val="0"/>
          <w:sz w:val="24"/>
          <w:szCs w:val="24"/>
          <w:lang w:val="en-GB"/>
        </w:rPr>
        <w:t xml:space="preserve"> is the reference sequence and </w:t>
      </w:r>
      <w:r w:rsidRPr="000A0F87">
        <w:rPr>
          <w:rFonts w:cs="Times New Roman"/>
          <w:i/>
          <w:iCs/>
          <w:kern w:val="0"/>
          <w:sz w:val="24"/>
          <w:szCs w:val="24"/>
          <w:lang w:val="en-GB"/>
        </w:rPr>
        <w:t>x</w:t>
      </w:r>
      <w:r w:rsidRPr="000A0F87">
        <w:rPr>
          <w:rFonts w:cs="Times New Roman"/>
          <w:i/>
          <w:iCs/>
          <w:kern w:val="0"/>
          <w:sz w:val="24"/>
          <w:szCs w:val="24"/>
          <w:vertAlign w:val="subscript"/>
          <w:lang w:val="en-GB"/>
        </w:rPr>
        <w:t>i</w:t>
      </w:r>
      <w:r w:rsidRPr="000A0F87">
        <w:rPr>
          <w:rFonts w:cs="Times New Roman"/>
          <w:kern w:val="0"/>
          <w:sz w:val="24"/>
          <w:szCs w:val="24"/>
          <w:lang w:val="en-GB"/>
        </w:rPr>
        <w:t xml:space="preserve"> (</w:t>
      </w:r>
      <w:r w:rsidRPr="000A0F87">
        <w:rPr>
          <w:rFonts w:cs="Times New Roman"/>
          <w:i/>
          <w:iCs/>
          <w:kern w:val="0"/>
          <w:sz w:val="24"/>
          <w:szCs w:val="24"/>
          <w:lang w:val="en-GB"/>
        </w:rPr>
        <w:t>i</w:t>
      </w:r>
      <w:r w:rsidRPr="000A0F87">
        <w:rPr>
          <w:rFonts w:cs="Times New Roman"/>
          <w:kern w:val="0"/>
          <w:sz w:val="24"/>
          <w:szCs w:val="24"/>
          <w:lang w:val="en-GB"/>
        </w:rPr>
        <w:t xml:space="preserve">=1,2,3...) is the comparison sequences, </w:t>
      </w:r>
      <w:r w:rsidRPr="000A0F87">
        <w:rPr>
          <w:rFonts w:cs="Times New Roman"/>
          <w:i/>
          <w:iCs/>
          <w:kern w:val="0"/>
          <w:sz w:val="24"/>
          <w:szCs w:val="24"/>
          <w:lang w:val="en-GB"/>
        </w:rPr>
        <w:t>ρ</w:t>
      </w:r>
      <w:r w:rsidRPr="000A0F87">
        <w:rPr>
          <w:rFonts w:cs="Times New Roman"/>
          <w:kern w:val="0"/>
          <w:sz w:val="24"/>
          <w:szCs w:val="24"/>
          <w:lang w:val="en-GB"/>
        </w:rPr>
        <w:t xml:space="preserve"> is the distinguishing coefficient always set as 0.5, ξ the grey relational coefficients of individual sample of the series, and </w:t>
      </w:r>
      <w:r w:rsidRPr="000A0F87">
        <w:rPr>
          <w:rFonts w:cs="Times New Roman"/>
          <w:i/>
          <w:iCs/>
          <w:kern w:val="0"/>
          <w:sz w:val="24"/>
          <w:szCs w:val="24"/>
          <w:lang w:val="en-GB"/>
        </w:rPr>
        <w:t>GRD</w:t>
      </w:r>
      <w:r w:rsidRPr="000A0F87">
        <w:rPr>
          <w:rFonts w:cs="Times New Roman"/>
          <w:i/>
          <w:iCs/>
          <w:kern w:val="0"/>
          <w:sz w:val="24"/>
          <w:szCs w:val="24"/>
          <w:vertAlign w:val="subscript"/>
          <w:lang w:val="en-GB"/>
        </w:rPr>
        <w:t>i</w:t>
      </w:r>
      <w:r w:rsidRPr="000A0F87">
        <w:rPr>
          <w:rFonts w:cs="Times New Roman"/>
          <w:kern w:val="0"/>
          <w:sz w:val="24"/>
          <w:szCs w:val="24"/>
          <w:lang w:val="en-GB"/>
        </w:rPr>
        <w:t xml:space="preserve"> is the grey relational degree calculated by the average of </w:t>
      </w:r>
      <w:r w:rsidRPr="000A0F87">
        <w:rPr>
          <w:rFonts w:cs="Times New Roman"/>
          <w:i/>
          <w:iCs/>
          <w:kern w:val="0"/>
          <w:sz w:val="24"/>
          <w:szCs w:val="24"/>
          <w:lang w:val="en-GB"/>
        </w:rPr>
        <w:t>ξ</w:t>
      </w:r>
      <w:r w:rsidRPr="000A0F87">
        <w:rPr>
          <w:rFonts w:cs="Times New Roman"/>
          <w:i/>
          <w:iCs/>
          <w:kern w:val="0"/>
          <w:sz w:val="24"/>
          <w:szCs w:val="24"/>
          <w:vertAlign w:val="subscript"/>
          <w:lang w:val="en-GB"/>
        </w:rPr>
        <w:t>i</w:t>
      </w:r>
      <w:r w:rsidRPr="000A0F87">
        <w:rPr>
          <w:rFonts w:cs="Times New Roman"/>
          <w:kern w:val="0"/>
          <w:sz w:val="24"/>
          <w:szCs w:val="24"/>
          <w:lang w:val="en-GB"/>
        </w:rPr>
        <w:t xml:space="preserve"> (Qiu et al. 2012).</w:t>
      </w:r>
      <w:r w:rsidRPr="000A0F87">
        <w:rPr>
          <w:rFonts w:cs="Times New Roman"/>
          <w:kern w:val="0"/>
          <w:sz w:val="24"/>
          <w:szCs w:val="24"/>
        </w:rPr>
        <w:t>”</w:t>
      </w:r>
    </w:p>
    <w:p w14:paraId="70871042" w14:textId="77777777" w:rsidR="000A0F87" w:rsidRDefault="000A0F87" w:rsidP="00093D0E">
      <w:pPr>
        <w:rPr>
          <w:rFonts w:cs="Times New Roman"/>
          <w:kern w:val="0"/>
          <w:sz w:val="24"/>
          <w:szCs w:val="24"/>
        </w:rPr>
      </w:pPr>
    </w:p>
    <w:p w14:paraId="0887A2B9" w14:textId="77777777" w:rsidR="000A0F87" w:rsidRPr="000A0F87" w:rsidRDefault="000A0F87" w:rsidP="00093D0E">
      <w:pPr>
        <w:rPr>
          <w:rFonts w:cs="Times New Roman"/>
          <w:kern w:val="0"/>
          <w:sz w:val="24"/>
          <w:szCs w:val="24"/>
        </w:rPr>
      </w:pPr>
      <w:r w:rsidRPr="000A0F87">
        <w:rPr>
          <w:rFonts w:cs="Times New Roman"/>
          <w:kern w:val="0"/>
          <w:sz w:val="24"/>
          <w:szCs w:val="24"/>
        </w:rPr>
        <w:t xml:space="preserve">In SI section </w:t>
      </w:r>
      <w:r>
        <w:rPr>
          <w:rFonts w:cs="Times New Roman"/>
          <w:kern w:val="0"/>
          <w:sz w:val="24"/>
          <w:szCs w:val="24"/>
        </w:rPr>
        <w:t>2</w:t>
      </w:r>
    </w:p>
    <w:p w14:paraId="567A58AA" w14:textId="77777777" w:rsidR="000A0F87" w:rsidRPr="000A0F87" w:rsidRDefault="000A0F87" w:rsidP="00093D0E">
      <w:pPr>
        <w:rPr>
          <w:rFonts w:eastAsiaTheme="minorEastAsia"/>
          <w:lang w:val="en-GB"/>
        </w:rPr>
      </w:pPr>
      <w:r>
        <w:rPr>
          <w:rFonts w:cs="Times New Roman"/>
          <w:kern w:val="0"/>
          <w:sz w:val="24"/>
          <w:szCs w:val="24"/>
        </w:rPr>
        <w:t>“</w:t>
      </w:r>
      <w:r w:rsidRPr="000A0F87">
        <w:rPr>
          <w:rFonts w:eastAsiaTheme="minorEastAsia"/>
          <w:lang w:val="en-GB"/>
        </w:rPr>
        <w:t xml:space="preserve">The SOC concentrations were calculated by the </w:t>
      </w:r>
      <w:r w:rsidRPr="000A0F87">
        <w:rPr>
          <w:rFonts w:eastAsiaTheme="minorEastAsia" w:hint="eastAsia"/>
          <w:lang w:val="en-GB"/>
        </w:rPr>
        <w:t>m</w:t>
      </w:r>
      <w:r w:rsidRPr="000A0F87">
        <w:rPr>
          <w:rFonts w:eastAsiaTheme="minorEastAsia"/>
          <w:lang w:val="en-GB"/>
        </w:rPr>
        <w:t xml:space="preserve">ethod proposed by Castro et al. (1999), as follows:  </w:t>
      </w:r>
    </w:p>
    <w:p w14:paraId="2EA85A36" w14:textId="77777777" w:rsidR="000A0F87" w:rsidRPr="000A0F87" w:rsidRDefault="000A0F87" w:rsidP="00093D0E">
      <w:pPr>
        <w:rPr>
          <w:rFonts w:eastAsiaTheme="minorEastAsia"/>
          <w:lang w:val="en-GB"/>
        </w:rPr>
      </w:pPr>
      <m:oMath>
        <m:r>
          <w:rPr>
            <w:rFonts w:ascii="Cambria Math" w:eastAsiaTheme="minorEastAsia" w:hAnsi="Cambria Math"/>
            <w:lang w:val="en-GB"/>
          </w:rPr>
          <m:t>SOC=OC-</m:t>
        </m:r>
        <m:sSub>
          <m:sSubPr>
            <m:ctrlPr>
              <w:rPr>
                <w:rFonts w:ascii="Cambria Math" w:eastAsiaTheme="minorEastAsia" w:hAnsi="Cambria Math"/>
                <w:i/>
                <w:lang w:val="en-GB"/>
              </w:rPr>
            </m:ctrlPr>
          </m:sSubPr>
          <m:e>
            <m:r>
              <w:rPr>
                <w:rFonts w:ascii="Cambria Math" w:eastAsiaTheme="minorEastAsia" w:hAnsi="Cambria Math"/>
                <w:lang w:val="en-GB"/>
              </w:rPr>
              <m:t>EC×(OC/EC)</m:t>
            </m:r>
          </m:e>
          <m:sub>
            <m:r>
              <w:rPr>
                <w:rFonts w:ascii="Cambria Math" w:eastAsiaTheme="minorEastAsia" w:hAnsi="Cambria Math"/>
                <w:lang w:val="en-GB"/>
              </w:rPr>
              <m:t>min</m:t>
            </m:r>
          </m:sub>
        </m:sSub>
      </m:oMath>
      <w:r w:rsidRPr="000A0F87">
        <w:rPr>
          <w:rFonts w:eastAsiaTheme="minorEastAsia" w:hint="eastAsia"/>
          <w:lang w:val="en-GB"/>
        </w:rPr>
        <w:t xml:space="preserve"> </w:t>
      </w:r>
      <w:r w:rsidRPr="000A0F87">
        <w:rPr>
          <w:rFonts w:eastAsiaTheme="minorEastAsia"/>
          <w:lang w:val="en-GB"/>
        </w:rPr>
        <w:t xml:space="preserve">                                                (3)</w:t>
      </w:r>
    </w:p>
    <w:p w14:paraId="0B99850A" w14:textId="77777777" w:rsidR="000A0F87" w:rsidRPr="000A0F87" w:rsidRDefault="000A0F87" w:rsidP="00093D0E">
      <w:pPr>
        <w:rPr>
          <w:rFonts w:eastAsiaTheme="minorEastAsia"/>
        </w:rPr>
      </w:pPr>
      <w:r w:rsidRPr="000A0F87">
        <w:rPr>
          <w:rFonts w:eastAsiaTheme="minorEastAsia"/>
        </w:rPr>
        <w:t>The results were used to examine</w:t>
      </w:r>
      <w:r w:rsidRPr="000A0F87">
        <w:rPr>
          <w:rFonts w:eastAsiaTheme="minorEastAsia" w:hint="eastAsia"/>
        </w:rPr>
        <w:t xml:space="preserve"> the connections between grey relational degree and secondary processes.</w:t>
      </w:r>
      <w:r>
        <w:rPr>
          <w:rFonts w:cs="Times New Roman"/>
          <w:kern w:val="0"/>
          <w:sz w:val="24"/>
          <w:szCs w:val="24"/>
        </w:rPr>
        <w:t>”</w:t>
      </w:r>
    </w:p>
    <w:p w14:paraId="1B9185AF" w14:textId="77777777" w:rsidR="000A0F87" w:rsidRDefault="000A0F87" w:rsidP="00093D0E">
      <w:pPr>
        <w:rPr>
          <w:rFonts w:cs="Times New Roman"/>
          <w:kern w:val="0"/>
          <w:sz w:val="24"/>
          <w:szCs w:val="24"/>
        </w:rPr>
      </w:pPr>
    </w:p>
    <w:p w14:paraId="38C25521" w14:textId="77777777" w:rsidR="000A0F87" w:rsidRPr="000A0F87" w:rsidRDefault="000A0F87" w:rsidP="00093D0E">
      <w:pPr>
        <w:rPr>
          <w:rFonts w:cs="Times New Roman"/>
          <w:kern w:val="0"/>
          <w:sz w:val="24"/>
          <w:szCs w:val="24"/>
        </w:rPr>
      </w:pPr>
      <w:r>
        <w:rPr>
          <w:rFonts w:cs="Times New Roman"/>
          <w:kern w:val="0"/>
          <w:sz w:val="24"/>
          <w:szCs w:val="24"/>
        </w:rPr>
        <w:t>In section 3.5</w:t>
      </w:r>
    </w:p>
    <w:p w14:paraId="1248A291" w14:textId="77777777" w:rsidR="000A0F87" w:rsidRDefault="000A0F87" w:rsidP="00093D0E">
      <w:pPr>
        <w:rPr>
          <w:rFonts w:cs="Times New Roman"/>
          <w:kern w:val="0"/>
          <w:sz w:val="24"/>
          <w:szCs w:val="24"/>
        </w:rPr>
      </w:pPr>
      <w:r>
        <w:rPr>
          <w:rFonts w:cs="Times New Roman"/>
          <w:kern w:val="0"/>
          <w:sz w:val="24"/>
          <w:szCs w:val="24"/>
        </w:rPr>
        <w:t>Lines 266-268: “</w:t>
      </w:r>
      <w:r w:rsidRPr="000A0F87">
        <w:rPr>
          <w:rFonts w:cs="Times New Roman"/>
          <w:kern w:val="0"/>
          <w:sz w:val="24"/>
          <w:szCs w:val="24"/>
        </w:rPr>
        <w:t xml:space="preserve">By setting WSOC (AFI and UV) of particles &lt;0.26 µm as references, </w:t>
      </w:r>
      <w:r w:rsidRPr="000A0F87">
        <w:rPr>
          <w:rFonts w:cs="Times New Roman"/>
          <w:kern w:val="0"/>
          <w:sz w:val="24"/>
          <w:szCs w:val="24"/>
        </w:rPr>
        <w:lastRenderedPageBreak/>
        <w:t>and those of larger particles sizes as comparisons, (a) and (b) in Figure 7 depicted the relations among particle sizes in winter and summer, respectively.</w:t>
      </w:r>
      <w:r>
        <w:rPr>
          <w:rFonts w:cs="Times New Roman"/>
          <w:kern w:val="0"/>
          <w:sz w:val="24"/>
          <w:szCs w:val="24"/>
        </w:rPr>
        <w:t>”</w:t>
      </w:r>
    </w:p>
    <w:p w14:paraId="07914469" w14:textId="77777777" w:rsidR="000A0F87" w:rsidRDefault="000A0F87" w:rsidP="00093D0E">
      <w:pPr>
        <w:rPr>
          <w:rFonts w:cs="Times New Roman"/>
          <w:kern w:val="0"/>
          <w:sz w:val="24"/>
          <w:szCs w:val="24"/>
        </w:rPr>
      </w:pPr>
    </w:p>
    <w:p w14:paraId="6AFA184E" w14:textId="77777777" w:rsidR="000A0F87" w:rsidRDefault="000A0F87" w:rsidP="00093D0E">
      <w:pPr>
        <w:rPr>
          <w:rFonts w:cs="Times New Roman"/>
          <w:kern w:val="0"/>
          <w:sz w:val="24"/>
          <w:szCs w:val="24"/>
        </w:rPr>
      </w:pPr>
      <w:r>
        <w:rPr>
          <w:rFonts w:cs="Times New Roman"/>
          <w:kern w:val="0"/>
          <w:sz w:val="24"/>
          <w:szCs w:val="24"/>
        </w:rPr>
        <w:t>Lines 273-274: “</w:t>
      </w:r>
      <w:r w:rsidRPr="000A0F87">
        <w:rPr>
          <w:rFonts w:cs="Times New Roman"/>
          <w:kern w:val="0"/>
          <w:sz w:val="24"/>
          <w:szCs w:val="24"/>
          <w:lang w:val="en-GB"/>
        </w:rPr>
        <w:t xml:space="preserve">The relations between WSOC and AFI and average UV (described as UV below) of different particles were showed in </w:t>
      </w:r>
      <w:r w:rsidR="00F448B9">
        <w:fldChar w:fldCharType="begin"/>
      </w:r>
      <w:r w:rsidR="00F448B9">
        <w:instrText xml:space="preserve"> REF _Ref52895798 \h  \* MERGEFORMAT </w:instrText>
      </w:r>
      <w:r w:rsidR="00F448B9">
        <w:fldChar w:fldCharType="separate"/>
      </w:r>
      <w:r w:rsidRPr="000A0F87">
        <w:rPr>
          <w:rFonts w:cs="Times New Roman"/>
          <w:kern w:val="0"/>
          <w:sz w:val="24"/>
          <w:szCs w:val="24"/>
          <w:lang w:val="en-GB"/>
        </w:rPr>
        <w:t>Figure 7</w:t>
      </w:r>
      <w:r w:rsidR="00F448B9">
        <w:fldChar w:fldCharType="end"/>
      </w:r>
      <w:r w:rsidRPr="000A0F87">
        <w:rPr>
          <w:rFonts w:cs="Times New Roman"/>
          <w:kern w:val="0"/>
          <w:sz w:val="24"/>
          <w:szCs w:val="24"/>
          <w:lang w:val="en-GB"/>
        </w:rPr>
        <w:t xml:space="preserve"> (c) and (d), respectively for winter and summer.</w:t>
      </w:r>
      <w:r>
        <w:rPr>
          <w:rFonts w:cs="Times New Roman"/>
          <w:kern w:val="0"/>
          <w:sz w:val="24"/>
          <w:szCs w:val="24"/>
        </w:rPr>
        <w:t>”</w:t>
      </w:r>
    </w:p>
    <w:p w14:paraId="17834FF7" w14:textId="77777777" w:rsidR="00275497" w:rsidRDefault="00275497" w:rsidP="00093D0E">
      <w:pPr>
        <w:rPr>
          <w:rFonts w:cs="Times New Roman"/>
          <w:kern w:val="0"/>
          <w:sz w:val="24"/>
          <w:szCs w:val="24"/>
        </w:rPr>
      </w:pPr>
    </w:p>
    <w:p w14:paraId="239F724D" w14:textId="77777777" w:rsidR="000A0F87" w:rsidRPr="006E1E8C" w:rsidRDefault="000A0F87" w:rsidP="00093D0E">
      <w:pPr>
        <w:rPr>
          <w:rFonts w:cs="Times New Roman"/>
          <w:kern w:val="0"/>
          <w:sz w:val="24"/>
          <w:szCs w:val="24"/>
        </w:rPr>
      </w:pPr>
      <w:r>
        <w:rPr>
          <w:rFonts w:cs="Times New Roman"/>
          <w:kern w:val="0"/>
          <w:sz w:val="24"/>
          <w:szCs w:val="24"/>
        </w:rPr>
        <w:t xml:space="preserve">Lines </w:t>
      </w:r>
      <w:r w:rsidR="00AF3C64">
        <w:rPr>
          <w:rFonts w:cs="Times New Roman"/>
          <w:kern w:val="0"/>
          <w:sz w:val="24"/>
          <w:szCs w:val="24"/>
        </w:rPr>
        <w:t xml:space="preserve">276-279: </w:t>
      </w:r>
      <w:r>
        <w:rPr>
          <w:rFonts w:cs="Times New Roman"/>
          <w:kern w:val="0"/>
          <w:sz w:val="24"/>
          <w:szCs w:val="24"/>
        </w:rPr>
        <w:t>“</w:t>
      </w:r>
      <w:r w:rsidRPr="000A0F87">
        <w:rPr>
          <w:rFonts w:cs="Times New Roman"/>
          <w:kern w:val="0"/>
          <w:sz w:val="24"/>
          <w:szCs w:val="24"/>
        </w:rPr>
        <w:t>However, clear variations of GRD were observed with particle size increasing. It and the pattern was contrast to those of fluorescence indices. Thus, it was speculated that these variations were resulting from secondary transformations of WSOC, because the fluorescence indices implied chemical transformation might happen during particle size increase.</w:t>
      </w:r>
      <w:r>
        <w:rPr>
          <w:rFonts w:cs="Times New Roman"/>
          <w:kern w:val="0"/>
          <w:sz w:val="24"/>
          <w:szCs w:val="24"/>
        </w:rPr>
        <w:t>”</w:t>
      </w:r>
    </w:p>
    <w:p w14:paraId="36F0B6F6" w14:textId="77777777" w:rsidR="00275497" w:rsidRPr="006E1E8C" w:rsidRDefault="00275497" w:rsidP="00093D0E">
      <w:pPr>
        <w:rPr>
          <w:rFonts w:cs="Times New Roman"/>
          <w:kern w:val="0"/>
          <w:sz w:val="24"/>
          <w:szCs w:val="24"/>
        </w:rPr>
      </w:pPr>
    </w:p>
    <w:p w14:paraId="4BA7BDAE" w14:textId="77777777" w:rsidR="00275497" w:rsidRPr="006E1E8C" w:rsidRDefault="00275497" w:rsidP="00093D0E">
      <w:pPr>
        <w:widowControl/>
        <w:spacing w:after="100" w:afterAutospacing="1"/>
        <w:rPr>
          <w:rFonts w:cs="Times New Roman"/>
          <w:kern w:val="0"/>
          <w:sz w:val="24"/>
          <w:szCs w:val="24"/>
        </w:rPr>
      </w:pPr>
      <w:r w:rsidRPr="006E1E8C">
        <w:rPr>
          <w:rFonts w:cs="Times New Roman"/>
          <w:b/>
          <w:bCs/>
          <w:kern w:val="0"/>
          <w:sz w:val="24"/>
          <w:szCs w:val="24"/>
        </w:rPr>
        <w:t>For Technical Corrections:</w:t>
      </w:r>
    </w:p>
    <w:p w14:paraId="7D248C88" w14:textId="77777777" w:rsidR="00275497" w:rsidRDefault="00275497" w:rsidP="00093D0E">
      <w:pPr>
        <w:widowControl/>
        <w:numPr>
          <w:ilvl w:val="0"/>
          <w:numId w:val="4"/>
        </w:numPr>
        <w:spacing w:before="100" w:beforeAutospacing="1" w:after="120"/>
        <w:rPr>
          <w:rFonts w:cs="Times New Roman"/>
          <w:kern w:val="0"/>
          <w:sz w:val="24"/>
          <w:szCs w:val="24"/>
        </w:rPr>
      </w:pPr>
      <w:r w:rsidRPr="006E1E8C">
        <w:rPr>
          <w:rFonts w:cs="Times New Roman"/>
          <w:kern w:val="0"/>
          <w:sz w:val="24"/>
          <w:szCs w:val="24"/>
        </w:rPr>
        <w:t>In this Reviewer opinion, the English language needs extensive revision throughout the manuscript in order to improve not only its reading, but also to clarify the structure and discussion of the scientific results and conclusions.</w:t>
      </w:r>
    </w:p>
    <w:p w14:paraId="7E3032D1" w14:textId="77777777" w:rsidR="005C31D3" w:rsidRPr="006E1E8C" w:rsidRDefault="005C31D3" w:rsidP="00093D0E">
      <w:pPr>
        <w:widowControl/>
        <w:spacing w:before="100" w:beforeAutospacing="1" w:after="120"/>
        <w:rPr>
          <w:rFonts w:cs="Times New Roman"/>
          <w:kern w:val="0"/>
          <w:sz w:val="24"/>
          <w:szCs w:val="24"/>
        </w:rPr>
      </w:pPr>
      <w:r w:rsidRPr="0072678A">
        <w:rPr>
          <w:rFonts w:cs="Times New Roman"/>
          <w:b/>
          <w:bCs/>
          <w:kern w:val="0"/>
          <w:sz w:val="24"/>
          <w:szCs w:val="24"/>
        </w:rPr>
        <w:t xml:space="preserve">Thank you for your advice. </w:t>
      </w:r>
      <w:r>
        <w:rPr>
          <w:rFonts w:cs="Times New Roman"/>
          <w:kern w:val="0"/>
          <w:sz w:val="24"/>
          <w:szCs w:val="24"/>
        </w:rPr>
        <w:t xml:space="preserve">We notice that the language needs to improve at present and have polished the English of this manuscript by </w:t>
      </w:r>
      <w:r w:rsidRPr="005C31D3">
        <w:rPr>
          <w:rFonts w:cs="Times New Roman"/>
          <w:kern w:val="0"/>
          <w:sz w:val="24"/>
          <w:szCs w:val="24"/>
        </w:rPr>
        <w:t>professional</w:t>
      </w:r>
      <w:r>
        <w:rPr>
          <w:rFonts w:cs="Times New Roman"/>
          <w:kern w:val="0"/>
          <w:sz w:val="24"/>
          <w:szCs w:val="24"/>
        </w:rPr>
        <w:t xml:space="preserve"> help.</w:t>
      </w:r>
    </w:p>
    <w:p w14:paraId="1A1A6E0B" w14:textId="77777777" w:rsidR="00275497" w:rsidRDefault="00275497" w:rsidP="00093D0E">
      <w:pPr>
        <w:widowControl/>
        <w:numPr>
          <w:ilvl w:val="0"/>
          <w:numId w:val="4"/>
        </w:numPr>
        <w:spacing w:before="100" w:beforeAutospacing="1" w:after="120"/>
        <w:rPr>
          <w:rFonts w:cs="Times New Roman"/>
          <w:kern w:val="0"/>
          <w:sz w:val="24"/>
          <w:szCs w:val="24"/>
        </w:rPr>
      </w:pPr>
      <w:r w:rsidRPr="006E1E8C">
        <w:rPr>
          <w:rFonts w:cs="Times New Roman"/>
          <w:kern w:val="0"/>
          <w:sz w:val="24"/>
          <w:szCs w:val="24"/>
        </w:rPr>
        <w:t>Line 117: where it reads “Roman unit” it should read “Raman unit”.</w:t>
      </w:r>
      <w:r w:rsidR="005C31D3">
        <w:rPr>
          <w:rFonts w:cs="Times New Roman"/>
          <w:kern w:val="0"/>
          <w:sz w:val="24"/>
          <w:szCs w:val="24"/>
        </w:rPr>
        <w:t>.</w:t>
      </w:r>
    </w:p>
    <w:p w14:paraId="02FC680D" w14:textId="77777777" w:rsidR="005C31D3" w:rsidRDefault="005C31D3" w:rsidP="00093D0E">
      <w:pPr>
        <w:widowControl/>
        <w:spacing w:before="100" w:beforeAutospacing="1" w:after="120"/>
        <w:rPr>
          <w:rFonts w:cs="Times New Roman"/>
          <w:kern w:val="0"/>
          <w:sz w:val="24"/>
          <w:szCs w:val="24"/>
        </w:rPr>
      </w:pPr>
      <w:r w:rsidRPr="0072678A">
        <w:rPr>
          <w:rFonts w:cs="Times New Roman"/>
          <w:b/>
          <w:bCs/>
          <w:kern w:val="0"/>
          <w:sz w:val="24"/>
          <w:szCs w:val="24"/>
        </w:rPr>
        <w:t>Thank you for your advice</w:t>
      </w:r>
      <w:r>
        <w:rPr>
          <w:rFonts w:cs="Times New Roman"/>
          <w:b/>
          <w:bCs/>
          <w:kern w:val="0"/>
          <w:sz w:val="24"/>
          <w:szCs w:val="24"/>
        </w:rPr>
        <w:t xml:space="preserve"> and very sorry for the mistakes. </w:t>
      </w:r>
      <w:r>
        <w:rPr>
          <w:rFonts w:cs="Times New Roman"/>
          <w:kern w:val="0"/>
          <w:sz w:val="24"/>
          <w:szCs w:val="24"/>
        </w:rPr>
        <w:t>We have corrected the wrong character of “Raman” throughout the article. They are now read as follows,</w:t>
      </w:r>
    </w:p>
    <w:p w14:paraId="28307C36" w14:textId="77777777" w:rsidR="005C31D3" w:rsidRDefault="005C31D3" w:rsidP="00093D0E">
      <w:pPr>
        <w:widowControl/>
        <w:spacing w:before="100" w:beforeAutospacing="1" w:after="120"/>
        <w:rPr>
          <w:rFonts w:cs="Times New Roman"/>
          <w:kern w:val="0"/>
          <w:sz w:val="24"/>
          <w:szCs w:val="24"/>
        </w:rPr>
      </w:pPr>
      <w:r>
        <w:rPr>
          <w:rFonts w:cs="Times New Roman"/>
          <w:kern w:val="0"/>
          <w:sz w:val="24"/>
          <w:szCs w:val="24"/>
        </w:rPr>
        <w:t>Line 20: “</w:t>
      </w:r>
      <w:r w:rsidRPr="005C31D3">
        <w:rPr>
          <w:rFonts w:cs="Times New Roman"/>
          <w:kern w:val="0"/>
          <w:sz w:val="24"/>
          <w:szCs w:val="24"/>
        </w:rPr>
        <w:t>All EEM data in the present research were in</w:t>
      </w:r>
      <w:r>
        <w:rPr>
          <w:rFonts w:cs="Times New Roman"/>
          <w:kern w:val="0"/>
          <w:sz w:val="24"/>
          <w:szCs w:val="24"/>
        </w:rPr>
        <w:t xml:space="preserve"> </w:t>
      </w:r>
      <w:r w:rsidRPr="005C31D3">
        <w:rPr>
          <w:rFonts w:cs="Times New Roman"/>
          <w:kern w:val="0"/>
          <w:sz w:val="24"/>
          <w:szCs w:val="24"/>
        </w:rPr>
        <w:t>Raman unit (R.U.)</w:t>
      </w:r>
      <w:r>
        <w:rPr>
          <w:rFonts w:cs="Times New Roman"/>
          <w:kern w:val="0"/>
          <w:sz w:val="24"/>
          <w:szCs w:val="24"/>
        </w:rPr>
        <w:t>”</w:t>
      </w:r>
    </w:p>
    <w:p w14:paraId="6719F404" w14:textId="77777777" w:rsidR="005C31D3" w:rsidRPr="00061DA7" w:rsidRDefault="005C31D3" w:rsidP="00093D0E">
      <w:pPr>
        <w:widowControl/>
        <w:spacing w:before="100" w:beforeAutospacing="1" w:after="120"/>
        <w:rPr>
          <w:rFonts w:cs="Times New Roman"/>
          <w:kern w:val="0"/>
          <w:sz w:val="24"/>
          <w:szCs w:val="24"/>
        </w:rPr>
      </w:pPr>
      <w:r w:rsidRPr="00061DA7">
        <w:rPr>
          <w:rFonts w:cs="Times New Roman" w:hint="eastAsia"/>
          <w:kern w:val="0"/>
          <w:sz w:val="24"/>
          <w:szCs w:val="24"/>
        </w:rPr>
        <w:t>F</w:t>
      </w:r>
      <w:r w:rsidRPr="00061DA7">
        <w:rPr>
          <w:rFonts w:cs="Times New Roman"/>
          <w:kern w:val="0"/>
          <w:sz w:val="24"/>
          <w:szCs w:val="24"/>
        </w:rPr>
        <w:t>igure 3: “</w:t>
      </w:r>
      <w:r w:rsidRPr="00061DA7">
        <w:rPr>
          <w:rFonts w:cs="Times New Roman"/>
          <w:kern w:val="0"/>
          <w:sz w:val="24"/>
          <w:szCs w:val="24"/>
          <w:lang w:val="en-GB"/>
        </w:rPr>
        <w:t>Size distributions of WSOC and AFI in winter and summer. AFI was in Raman unit.</w:t>
      </w:r>
      <w:r w:rsidRPr="00061DA7">
        <w:rPr>
          <w:rFonts w:cs="Times New Roman"/>
          <w:kern w:val="0"/>
          <w:sz w:val="24"/>
          <w:szCs w:val="24"/>
        </w:rPr>
        <w:t>”</w:t>
      </w:r>
    </w:p>
    <w:p w14:paraId="69B32A79" w14:textId="77777777" w:rsidR="00275497" w:rsidRDefault="00275497" w:rsidP="00093D0E">
      <w:pPr>
        <w:widowControl/>
        <w:numPr>
          <w:ilvl w:val="0"/>
          <w:numId w:val="4"/>
        </w:numPr>
        <w:spacing w:before="100" w:beforeAutospacing="1" w:after="120"/>
        <w:rPr>
          <w:rFonts w:cs="Times New Roman"/>
          <w:kern w:val="0"/>
          <w:sz w:val="24"/>
          <w:szCs w:val="24"/>
        </w:rPr>
      </w:pPr>
      <w:r w:rsidRPr="006E1E8C">
        <w:rPr>
          <w:rFonts w:cs="Times New Roman"/>
          <w:kern w:val="0"/>
          <w:sz w:val="24"/>
          <w:szCs w:val="24"/>
        </w:rPr>
        <w:t>Line 211: where it reads “p-conjected” it should read “p-conjugated”.</w:t>
      </w:r>
    </w:p>
    <w:p w14:paraId="197148D0" w14:textId="77777777" w:rsidR="005C31D3" w:rsidRDefault="005C31D3" w:rsidP="00093D0E">
      <w:pPr>
        <w:widowControl/>
        <w:spacing w:before="100" w:beforeAutospacing="1" w:after="120"/>
        <w:rPr>
          <w:rFonts w:cs="Times New Roman"/>
          <w:kern w:val="0"/>
          <w:sz w:val="24"/>
          <w:szCs w:val="24"/>
        </w:rPr>
      </w:pPr>
      <w:r w:rsidRPr="0072678A">
        <w:rPr>
          <w:rFonts w:cs="Times New Roman"/>
          <w:b/>
          <w:bCs/>
          <w:kern w:val="0"/>
          <w:sz w:val="24"/>
          <w:szCs w:val="24"/>
        </w:rPr>
        <w:t>Thank you for your advice</w:t>
      </w:r>
      <w:r w:rsidRPr="005C31D3">
        <w:rPr>
          <w:rFonts w:cs="Times New Roman"/>
          <w:b/>
          <w:bCs/>
          <w:kern w:val="0"/>
          <w:sz w:val="24"/>
          <w:szCs w:val="24"/>
        </w:rPr>
        <w:t xml:space="preserve"> and very sorry for the mistake. </w:t>
      </w:r>
      <w:r w:rsidRPr="005C31D3">
        <w:rPr>
          <w:rFonts w:cs="Times New Roman"/>
          <w:kern w:val="0"/>
          <w:sz w:val="24"/>
          <w:szCs w:val="24"/>
        </w:rPr>
        <w:t>We have corrected the</w:t>
      </w:r>
      <w:r>
        <w:rPr>
          <w:rFonts w:cs="Times New Roman"/>
          <w:kern w:val="0"/>
          <w:sz w:val="24"/>
          <w:szCs w:val="24"/>
        </w:rPr>
        <w:t xml:space="preserve"> word</w:t>
      </w:r>
      <w:r w:rsidRPr="005C31D3">
        <w:rPr>
          <w:rFonts w:cs="Times New Roman"/>
          <w:kern w:val="0"/>
          <w:sz w:val="24"/>
          <w:szCs w:val="24"/>
        </w:rPr>
        <w:t xml:space="preserve"> “conjected</w:t>
      </w:r>
      <w:r>
        <w:rPr>
          <w:rFonts w:cs="Times New Roman"/>
          <w:kern w:val="0"/>
          <w:sz w:val="24"/>
          <w:szCs w:val="24"/>
        </w:rPr>
        <w:t xml:space="preserve">” to </w:t>
      </w:r>
      <w:r w:rsidRPr="005C31D3">
        <w:rPr>
          <w:rFonts w:cs="Times New Roman"/>
          <w:kern w:val="0"/>
          <w:sz w:val="24"/>
          <w:szCs w:val="24"/>
        </w:rPr>
        <w:t>“conjugated”</w:t>
      </w:r>
      <w:r>
        <w:rPr>
          <w:rFonts w:cs="Times New Roman"/>
          <w:kern w:val="0"/>
          <w:sz w:val="24"/>
          <w:szCs w:val="24"/>
        </w:rPr>
        <w:t xml:space="preserve"> in line 211.</w:t>
      </w:r>
    </w:p>
    <w:p w14:paraId="2A0319C6" w14:textId="77777777" w:rsidR="005C31D3" w:rsidRPr="005C31D3" w:rsidRDefault="005C31D3" w:rsidP="00093D0E">
      <w:pPr>
        <w:widowControl/>
        <w:spacing w:before="100" w:beforeAutospacing="1" w:after="120"/>
        <w:rPr>
          <w:rFonts w:cs="Times New Roman"/>
          <w:kern w:val="0"/>
          <w:sz w:val="24"/>
          <w:szCs w:val="24"/>
        </w:rPr>
      </w:pPr>
      <w:r>
        <w:rPr>
          <w:rFonts w:cs="Times New Roman"/>
          <w:kern w:val="0"/>
          <w:sz w:val="24"/>
          <w:szCs w:val="24"/>
        </w:rPr>
        <w:t>“</w:t>
      </w:r>
      <w:r w:rsidRPr="005C31D3">
        <w:rPr>
          <w:rFonts w:cs="Times New Roman"/>
          <w:kern w:val="0"/>
          <w:sz w:val="24"/>
          <w:szCs w:val="24"/>
        </w:rPr>
        <w:t>Stokes shift is the energy loss of fluorophore relaxation which might associate with the π-conjugated system and electron cloud density (Lakowicz, 2006).</w:t>
      </w:r>
      <w:r>
        <w:rPr>
          <w:rFonts w:cs="Times New Roman"/>
          <w:kern w:val="0"/>
          <w:sz w:val="24"/>
          <w:szCs w:val="24"/>
        </w:rPr>
        <w:t>”</w:t>
      </w:r>
    </w:p>
    <w:p w14:paraId="54007BF9" w14:textId="77777777" w:rsidR="00275497" w:rsidRDefault="00275497" w:rsidP="00093D0E">
      <w:pPr>
        <w:widowControl/>
        <w:numPr>
          <w:ilvl w:val="0"/>
          <w:numId w:val="4"/>
        </w:numPr>
        <w:spacing w:before="100" w:beforeAutospacing="1" w:after="120"/>
        <w:rPr>
          <w:rFonts w:cs="Times New Roman"/>
          <w:kern w:val="0"/>
          <w:sz w:val="24"/>
          <w:szCs w:val="24"/>
        </w:rPr>
      </w:pPr>
      <w:r w:rsidRPr="006E1E8C">
        <w:rPr>
          <w:rFonts w:cs="Times New Roman"/>
          <w:kern w:val="0"/>
          <w:sz w:val="24"/>
          <w:szCs w:val="24"/>
        </w:rPr>
        <w:t>Line 219: The reference “(Valeur and Berberan-Santos, 2012)” is not accurately listed in the reference list (see line 373).</w:t>
      </w:r>
    </w:p>
    <w:p w14:paraId="31A0DE64" w14:textId="77777777" w:rsidR="005C31D3" w:rsidRDefault="005C31D3" w:rsidP="00093D0E">
      <w:pPr>
        <w:widowControl/>
        <w:spacing w:before="100" w:beforeAutospacing="1" w:after="120"/>
        <w:rPr>
          <w:rFonts w:cs="Times New Roman"/>
          <w:kern w:val="0"/>
          <w:sz w:val="24"/>
          <w:szCs w:val="24"/>
        </w:rPr>
      </w:pPr>
      <w:r w:rsidRPr="0072678A">
        <w:rPr>
          <w:rFonts w:cs="Times New Roman"/>
          <w:b/>
          <w:bCs/>
          <w:kern w:val="0"/>
          <w:sz w:val="24"/>
          <w:szCs w:val="24"/>
        </w:rPr>
        <w:t>Thank you for your advice</w:t>
      </w:r>
      <w:r w:rsidRPr="005C31D3">
        <w:rPr>
          <w:rFonts w:cs="Times New Roman"/>
          <w:b/>
          <w:bCs/>
          <w:kern w:val="0"/>
          <w:sz w:val="24"/>
          <w:szCs w:val="24"/>
        </w:rPr>
        <w:t xml:space="preserve"> and very sorry for the mistake. </w:t>
      </w:r>
      <w:r w:rsidRPr="005C31D3">
        <w:rPr>
          <w:rFonts w:cs="Times New Roman"/>
          <w:kern w:val="0"/>
          <w:sz w:val="24"/>
          <w:szCs w:val="24"/>
        </w:rPr>
        <w:t xml:space="preserve">We </w:t>
      </w:r>
      <w:r>
        <w:rPr>
          <w:rFonts w:cs="Times New Roman"/>
          <w:kern w:val="0"/>
          <w:sz w:val="24"/>
          <w:szCs w:val="24"/>
        </w:rPr>
        <w:t xml:space="preserve">have checked the reference list and found that the author order </w:t>
      </w:r>
      <w:r w:rsidR="006D7C9F">
        <w:rPr>
          <w:rFonts w:cs="Times New Roman"/>
          <w:kern w:val="0"/>
          <w:sz w:val="24"/>
          <w:szCs w:val="24"/>
        </w:rPr>
        <w:t xml:space="preserve">is </w:t>
      </w:r>
      <w:r w:rsidR="006D7C9F" w:rsidRPr="006D7C9F">
        <w:rPr>
          <w:rFonts w:cs="Times New Roman"/>
          <w:kern w:val="0"/>
          <w:sz w:val="24"/>
          <w:szCs w:val="24"/>
        </w:rPr>
        <w:t>inverse</w:t>
      </w:r>
      <w:r w:rsidR="006D7C9F">
        <w:rPr>
          <w:rFonts w:cs="Times New Roman"/>
          <w:kern w:val="0"/>
          <w:sz w:val="24"/>
          <w:szCs w:val="24"/>
        </w:rPr>
        <w:t>d, it is now corrected.</w:t>
      </w:r>
    </w:p>
    <w:p w14:paraId="0380817E" w14:textId="77777777" w:rsidR="006D7C9F" w:rsidRPr="006D7C9F" w:rsidRDefault="006D7C9F" w:rsidP="00093D0E">
      <w:pPr>
        <w:widowControl/>
        <w:spacing w:before="100" w:beforeAutospacing="1" w:after="120"/>
        <w:rPr>
          <w:rFonts w:cs="Times New Roman"/>
          <w:kern w:val="0"/>
          <w:sz w:val="24"/>
          <w:szCs w:val="24"/>
        </w:rPr>
      </w:pPr>
      <w:r>
        <w:rPr>
          <w:rFonts w:cs="Times New Roman"/>
          <w:kern w:val="0"/>
          <w:sz w:val="24"/>
          <w:szCs w:val="24"/>
        </w:rPr>
        <w:lastRenderedPageBreak/>
        <w:t>“</w:t>
      </w:r>
      <w:r w:rsidRPr="006D7C9F">
        <w:rPr>
          <w:rFonts w:cs="Times New Roman"/>
          <w:kern w:val="0"/>
          <w:sz w:val="24"/>
          <w:szCs w:val="24"/>
        </w:rPr>
        <w:t>the electron in the ground state needs lower excitation energy jumping to the excited state (Berberan-Santos and Valeur, 2012).</w:t>
      </w:r>
      <w:r>
        <w:rPr>
          <w:rFonts w:cs="Times New Roman"/>
          <w:kern w:val="0"/>
          <w:sz w:val="24"/>
          <w:szCs w:val="24"/>
        </w:rPr>
        <w:t>”</w:t>
      </w:r>
    </w:p>
    <w:p w14:paraId="73F4661C" w14:textId="77777777" w:rsidR="00275497" w:rsidRDefault="00275497" w:rsidP="00093D0E">
      <w:pPr>
        <w:widowControl/>
        <w:numPr>
          <w:ilvl w:val="0"/>
          <w:numId w:val="4"/>
        </w:numPr>
        <w:spacing w:before="100" w:beforeAutospacing="1" w:after="120"/>
        <w:rPr>
          <w:rFonts w:cs="Times New Roman"/>
          <w:kern w:val="0"/>
          <w:sz w:val="24"/>
          <w:szCs w:val="24"/>
        </w:rPr>
      </w:pPr>
      <w:r w:rsidRPr="006E1E8C">
        <w:rPr>
          <w:rFonts w:cs="Times New Roman"/>
          <w:kern w:val="0"/>
          <w:sz w:val="24"/>
          <w:szCs w:val="24"/>
        </w:rPr>
        <w:t>Line 222: In my opinion, “Figure 3” should appear as “Figure S3” in the text, because the authors are referring to Figure S3 of the Support Information. Please, also see my comment below on Figures S1, S2, S4, S5 and Table S1, in Supporting Information.</w:t>
      </w:r>
    </w:p>
    <w:p w14:paraId="01FE27E0" w14:textId="77777777" w:rsidR="006D7C9F" w:rsidRPr="006E1E8C" w:rsidRDefault="006D7C9F" w:rsidP="00093D0E">
      <w:pPr>
        <w:widowControl/>
        <w:spacing w:before="100" w:beforeAutospacing="1" w:after="120"/>
        <w:rPr>
          <w:rFonts w:cs="Times New Roman"/>
          <w:kern w:val="0"/>
          <w:sz w:val="24"/>
          <w:szCs w:val="24"/>
        </w:rPr>
      </w:pPr>
      <w:r w:rsidRPr="0072678A">
        <w:rPr>
          <w:rFonts w:cs="Times New Roman"/>
          <w:b/>
          <w:bCs/>
          <w:kern w:val="0"/>
          <w:sz w:val="24"/>
          <w:szCs w:val="24"/>
        </w:rPr>
        <w:t>Thank you for your advice</w:t>
      </w:r>
      <w:r w:rsidRPr="006D7C9F">
        <w:rPr>
          <w:rFonts w:cs="Times New Roman"/>
          <w:b/>
          <w:bCs/>
          <w:kern w:val="0"/>
          <w:sz w:val="24"/>
          <w:szCs w:val="24"/>
        </w:rPr>
        <w:t xml:space="preserve"> and very sorry for the </w:t>
      </w:r>
      <w:r>
        <w:rPr>
          <w:rFonts w:cs="Times New Roman"/>
          <w:b/>
          <w:bCs/>
          <w:kern w:val="0"/>
          <w:sz w:val="24"/>
          <w:szCs w:val="24"/>
        </w:rPr>
        <w:t>neglection</w:t>
      </w:r>
      <w:r w:rsidRPr="006D7C9F">
        <w:rPr>
          <w:rFonts w:cs="Times New Roman"/>
          <w:b/>
          <w:bCs/>
          <w:kern w:val="0"/>
          <w:sz w:val="24"/>
          <w:szCs w:val="24"/>
        </w:rPr>
        <w:t>.</w:t>
      </w:r>
      <w:r>
        <w:rPr>
          <w:rFonts w:cs="Times New Roman"/>
          <w:kern w:val="0"/>
          <w:sz w:val="24"/>
          <w:szCs w:val="24"/>
        </w:rPr>
        <w:t xml:space="preserve"> The captions in supplementary information file have all corrected as Figure S# and Table S#, they are quoted as </w:t>
      </w:r>
      <w:r w:rsidRPr="006D7C9F">
        <w:rPr>
          <w:rFonts w:cs="Times New Roman"/>
          <w:kern w:val="0"/>
          <w:sz w:val="24"/>
          <w:szCs w:val="24"/>
        </w:rPr>
        <w:t>Figure S# and Table S#</w:t>
      </w:r>
      <w:r>
        <w:rPr>
          <w:rFonts w:cs="Times New Roman"/>
          <w:kern w:val="0"/>
          <w:sz w:val="24"/>
          <w:szCs w:val="24"/>
        </w:rPr>
        <w:t xml:space="preserve"> in the manuscript as well.</w:t>
      </w:r>
    </w:p>
    <w:p w14:paraId="0E4C7ED7" w14:textId="77777777" w:rsidR="00275497" w:rsidRDefault="00275497" w:rsidP="00093D0E">
      <w:pPr>
        <w:widowControl/>
        <w:numPr>
          <w:ilvl w:val="0"/>
          <w:numId w:val="4"/>
        </w:numPr>
        <w:spacing w:before="100" w:beforeAutospacing="1" w:after="120"/>
        <w:rPr>
          <w:rFonts w:cs="Times New Roman"/>
          <w:kern w:val="0"/>
          <w:sz w:val="24"/>
          <w:szCs w:val="24"/>
        </w:rPr>
      </w:pPr>
      <w:r w:rsidRPr="006E1E8C">
        <w:rPr>
          <w:rFonts w:cs="Times New Roman"/>
          <w:kern w:val="0"/>
          <w:sz w:val="24"/>
          <w:szCs w:val="24"/>
        </w:rPr>
        <w:t>Line 271: where it reads “indicter” it should read “indicator”.</w:t>
      </w:r>
    </w:p>
    <w:p w14:paraId="27AAB602" w14:textId="77777777" w:rsidR="006D7C9F" w:rsidRDefault="006D7C9F" w:rsidP="00093D0E">
      <w:pPr>
        <w:widowControl/>
        <w:spacing w:before="100" w:beforeAutospacing="1" w:after="120"/>
        <w:rPr>
          <w:rFonts w:cs="Times New Roman"/>
          <w:kern w:val="0"/>
          <w:sz w:val="24"/>
          <w:szCs w:val="24"/>
        </w:rPr>
      </w:pPr>
      <w:r w:rsidRPr="0072678A">
        <w:rPr>
          <w:rFonts w:cs="Times New Roman"/>
          <w:b/>
          <w:bCs/>
          <w:kern w:val="0"/>
          <w:sz w:val="24"/>
          <w:szCs w:val="24"/>
        </w:rPr>
        <w:t>Thank you for your advice</w:t>
      </w:r>
      <w:r w:rsidRPr="006D7C9F">
        <w:rPr>
          <w:rFonts w:cs="Times New Roman"/>
          <w:b/>
          <w:bCs/>
          <w:kern w:val="0"/>
          <w:sz w:val="24"/>
          <w:szCs w:val="24"/>
        </w:rPr>
        <w:t xml:space="preserve"> and very sorry for the mistake. </w:t>
      </w:r>
      <w:r w:rsidRPr="006D7C9F">
        <w:rPr>
          <w:rFonts w:cs="Times New Roman"/>
          <w:kern w:val="0"/>
          <w:sz w:val="24"/>
          <w:szCs w:val="24"/>
        </w:rPr>
        <w:t>We have</w:t>
      </w:r>
      <w:r>
        <w:rPr>
          <w:rFonts w:cs="Times New Roman"/>
          <w:kern w:val="0"/>
          <w:sz w:val="24"/>
          <w:szCs w:val="24"/>
        </w:rPr>
        <w:t xml:space="preserve"> corrected the word in line 271.</w:t>
      </w:r>
    </w:p>
    <w:p w14:paraId="5B15222C" w14:textId="77777777" w:rsidR="006D7C9F" w:rsidRPr="006E1E8C" w:rsidRDefault="006D7C9F" w:rsidP="00093D0E">
      <w:pPr>
        <w:widowControl/>
        <w:spacing w:before="100" w:beforeAutospacing="1" w:after="120"/>
        <w:rPr>
          <w:rFonts w:cs="Times New Roman"/>
          <w:kern w:val="0"/>
          <w:sz w:val="24"/>
          <w:szCs w:val="24"/>
        </w:rPr>
      </w:pPr>
      <w:r>
        <w:rPr>
          <w:rFonts w:cs="Times New Roman"/>
          <w:kern w:val="0"/>
          <w:sz w:val="24"/>
          <w:szCs w:val="24"/>
        </w:rPr>
        <w:t>“</w:t>
      </w:r>
      <w:r w:rsidRPr="006D7C9F">
        <w:rPr>
          <w:rFonts w:cs="Times New Roman"/>
          <w:kern w:val="0"/>
          <w:sz w:val="24"/>
          <w:szCs w:val="24"/>
        </w:rPr>
        <w:t>GRD between WSOC and AFI could serve as an indicator of secondary formation in present research.</w:t>
      </w:r>
      <w:r>
        <w:rPr>
          <w:rFonts w:cs="Times New Roman"/>
          <w:kern w:val="0"/>
          <w:sz w:val="24"/>
          <w:szCs w:val="24"/>
        </w:rPr>
        <w:t>”</w:t>
      </w:r>
    </w:p>
    <w:p w14:paraId="54CCDBB5" w14:textId="77777777" w:rsidR="00275497" w:rsidRDefault="00275497" w:rsidP="00093D0E">
      <w:pPr>
        <w:widowControl/>
        <w:numPr>
          <w:ilvl w:val="0"/>
          <w:numId w:val="4"/>
        </w:numPr>
        <w:spacing w:before="100" w:beforeAutospacing="1" w:after="120"/>
        <w:rPr>
          <w:rFonts w:cs="Times New Roman"/>
          <w:kern w:val="0"/>
          <w:sz w:val="24"/>
          <w:szCs w:val="24"/>
        </w:rPr>
      </w:pPr>
      <w:r w:rsidRPr="006E1E8C">
        <w:rPr>
          <w:rFonts w:cs="Times New Roman"/>
          <w:kern w:val="0"/>
          <w:sz w:val="24"/>
          <w:szCs w:val="24"/>
        </w:rPr>
        <w:t>Figure 1 is not mentioned nor discussed in the manuscript, although it is presented at the end as being part of the manuscript.</w:t>
      </w:r>
    </w:p>
    <w:p w14:paraId="521593E8" w14:textId="77777777" w:rsidR="006D7C9F" w:rsidRPr="006E1E8C" w:rsidRDefault="006D7C9F" w:rsidP="00093D0E">
      <w:pPr>
        <w:widowControl/>
        <w:spacing w:before="100" w:beforeAutospacing="1" w:after="120"/>
        <w:rPr>
          <w:rFonts w:cs="Times New Roman"/>
          <w:kern w:val="0"/>
          <w:sz w:val="24"/>
          <w:szCs w:val="24"/>
        </w:rPr>
      </w:pPr>
      <w:r w:rsidRPr="0072678A">
        <w:rPr>
          <w:rFonts w:cs="Times New Roman"/>
          <w:b/>
          <w:bCs/>
          <w:kern w:val="0"/>
          <w:sz w:val="24"/>
          <w:szCs w:val="24"/>
        </w:rPr>
        <w:t>Thank you for your advice</w:t>
      </w:r>
      <w:r w:rsidRPr="006D7C9F">
        <w:rPr>
          <w:rFonts w:cs="Times New Roman"/>
          <w:b/>
          <w:bCs/>
          <w:kern w:val="0"/>
          <w:sz w:val="24"/>
          <w:szCs w:val="24"/>
        </w:rPr>
        <w:t xml:space="preserve"> and very sorry for the mistake. </w:t>
      </w:r>
      <w:r w:rsidRPr="006D7C9F">
        <w:rPr>
          <w:rFonts w:cs="Times New Roman"/>
          <w:kern w:val="0"/>
          <w:sz w:val="24"/>
          <w:szCs w:val="24"/>
        </w:rPr>
        <w:t xml:space="preserve">We </w:t>
      </w:r>
      <w:r>
        <w:rPr>
          <w:rFonts w:cs="Times New Roman"/>
          <w:kern w:val="0"/>
          <w:sz w:val="24"/>
          <w:szCs w:val="24"/>
        </w:rPr>
        <w:t xml:space="preserve">are tending to show the sampling site information in Figure 1 and neglected to </w:t>
      </w:r>
      <w:r w:rsidR="00751C07">
        <w:rPr>
          <w:rFonts w:cs="Times New Roman"/>
          <w:kern w:val="0"/>
          <w:sz w:val="24"/>
          <w:szCs w:val="24"/>
        </w:rPr>
        <w:t>refer to it, we add “</w:t>
      </w:r>
      <w:r w:rsidR="00751C07" w:rsidRPr="00751C07">
        <w:rPr>
          <w:rFonts w:cs="Times New Roman"/>
          <w:kern w:val="0"/>
          <w:sz w:val="24"/>
          <w:szCs w:val="24"/>
        </w:rPr>
        <w:t xml:space="preserve">The air quality index weighted 72h backward trajectories during sampling period were </w:t>
      </w:r>
      <w:r w:rsidR="00751C07">
        <w:rPr>
          <w:rFonts w:cs="Times New Roman"/>
          <w:kern w:val="0"/>
          <w:sz w:val="24"/>
          <w:szCs w:val="24"/>
        </w:rPr>
        <w:t>e</w:t>
      </w:r>
      <w:r w:rsidR="00751C07" w:rsidRPr="00751C07">
        <w:rPr>
          <w:rFonts w:cs="Times New Roman"/>
          <w:kern w:val="0"/>
          <w:sz w:val="24"/>
          <w:szCs w:val="24"/>
        </w:rPr>
        <w:t>xhibited in Figure 1.</w:t>
      </w:r>
      <w:r w:rsidR="00751C07">
        <w:rPr>
          <w:rFonts w:cs="Times New Roman"/>
          <w:kern w:val="0"/>
          <w:sz w:val="24"/>
          <w:szCs w:val="24"/>
        </w:rPr>
        <w:t>” in method section 2.1</w:t>
      </w:r>
    </w:p>
    <w:p w14:paraId="20D80D5D" w14:textId="77777777" w:rsidR="00275497" w:rsidRDefault="00275497" w:rsidP="00093D0E">
      <w:pPr>
        <w:widowControl/>
        <w:numPr>
          <w:ilvl w:val="0"/>
          <w:numId w:val="4"/>
        </w:numPr>
        <w:spacing w:before="100" w:beforeAutospacing="1" w:after="120"/>
        <w:rPr>
          <w:rFonts w:cs="Times New Roman"/>
          <w:kern w:val="0"/>
          <w:sz w:val="24"/>
          <w:szCs w:val="24"/>
        </w:rPr>
      </w:pPr>
      <w:r w:rsidRPr="006E1E8C">
        <w:rPr>
          <w:rFonts w:cs="Times New Roman"/>
          <w:kern w:val="0"/>
          <w:sz w:val="24"/>
          <w:szCs w:val="24"/>
        </w:rPr>
        <w:t>Figure 2: please, clarify which axis correspond to the Emission and Excitation wavelengths in order to facilitate the analysis of the EEM spectra by the potential reader.</w:t>
      </w:r>
    </w:p>
    <w:p w14:paraId="1B8579B6" w14:textId="77777777" w:rsidR="00751C07" w:rsidRPr="00751C07" w:rsidRDefault="00751C07" w:rsidP="00093D0E">
      <w:pPr>
        <w:widowControl/>
        <w:spacing w:before="100" w:beforeAutospacing="1" w:after="120"/>
        <w:rPr>
          <w:rFonts w:cs="Times New Roman"/>
          <w:kern w:val="0"/>
          <w:sz w:val="24"/>
          <w:szCs w:val="24"/>
        </w:rPr>
      </w:pPr>
      <w:r w:rsidRPr="0072678A">
        <w:rPr>
          <w:rFonts w:cs="Times New Roman"/>
          <w:b/>
          <w:bCs/>
          <w:kern w:val="0"/>
          <w:sz w:val="24"/>
          <w:szCs w:val="24"/>
        </w:rPr>
        <w:t>Thank you for your advice</w:t>
      </w:r>
      <w:r>
        <w:rPr>
          <w:rFonts w:cs="Times New Roman"/>
          <w:b/>
          <w:bCs/>
          <w:kern w:val="0"/>
          <w:sz w:val="24"/>
          <w:szCs w:val="24"/>
        </w:rPr>
        <w:t xml:space="preserve">. </w:t>
      </w:r>
      <w:r>
        <w:rPr>
          <w:rFonts w:cs="Times New Roman"/>
          <w:kern w:val="0"/>
          <w:sz w:val="24"/>
          <w:szCs w:val="24"/>
        </w:rPr>
        <w:t xml:space="preserve">We add “Em” in </w:t>
      </w:r>
      <w:r w:rsidRPr="00751C07">
        <w:rPr>
          <w:rFonts w:cs="Times New Roman"/>
          <w:kern w:val="0"/>
          <w:sz w:val="24"/>
          <w:szCs w:val="24"/>
        </w:rPr>
        <w:t>horizontal axis</w:t>
      </w:r>
      <w:r>
        <w:rPr>
          <w:rFonts w:cs="Times New Roman"/>
          <w:kern w:val="0"/>
          <w:sz w:val="24"/>
          <w:szCs w:val="24"/>
        </w:rPr>
        <w:t xml:space="preserve"> and “Ex” in </w:t>
      </w:r>
      <w:r w:rsidRPr="00751C07">
        <w:rPr>
          <w:rFonts w:cs="Times New Roman"/>
          <w:kern w:val="0"/>
          <w:sz w:val="24"/>
          <w:szCs w:val="24"/>
        </w:rPr>
        <w:t>vertical axis</w:t>
      </w:r>
      <w:r>
        <w:rPr>
          <w:rFonts w:cs="Times New Roman"/>
          <w:kern w:val="0"/>
          <w:sz w:val="24"/>
          <w:szCs w:val="24"/>
        </w:rPr>
        <w:t>, representing emission and excitation, respectively, in Figure 2</w:t>
      </w:r>
    </w:p>
    <w:p w14:paraId="6A9AF52F" w14:textId="77777777" w:rsidR="00751C07" w:rsidRPr="006E1E8C" w:rsidRDefault="00751C07" w:rsidP="00093D0E">
      <w:pPr>
        <w:widowControl/>
        <w:spacing w:before="100" w:beforeAutospacing="1" w:after="120"/>
        <w:rPr>
          <w:rFonts w:cs="Times New Roman"/>
          <w:kern w:val="0"/>
          <w:sz w:val="24"/>
          <w:szCs w:val="24"/>
        </w:rPr>
      </w:pPr>
      <w:r>
        <w:rPr>
          <w:b/>
          <w:bCs/>
          <w:noProof/>
        </w:rPr>
        <w:lastRenderedPageBreak/>
        <w:drawing>
          <wp:inline distT="0" distB="0" distL="0" distR="0" wp14:anchorId="5D120A5E" wp14:editId="18248DCB">
            <wp:extent cx="5040000" cy="3326400"/>
            <wp:effectExtent l="0" t="0" r="8255" b="0"/>
            <wp:docPr id="2" name="图片 2" descr="一群不同颜色的盒子&#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一群不同颜色的盒子&#10;&#10;中度可信度描述已自动生成"/>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040000" cy="3326400"/>
                    </a:xfrm>
                    <a:prstGeom prst="rect">
                      <a:avLst/>
                    </a:prstGeom>
                    <a:noFill/>
                  </pic:spPr>
                </pic:pic>
              </a:graphicData>
            </a:graphic>
          </wp:inline>
        </w:drawing>
      </w:r>
    </w:p>
    <w:p w14:paraId="55BD0382" w14:textId="77777777" w:rsidR="00275497" w:rsidRDefault="00275497" w:rsidP="00093D0E">
      <w:pPr>
        <w:widowControl/>
        <w:numPr>
          <w:ilvl w:val="0"/>
          <w:numId w:val="4"/>
        </w:numPr>
        <w:spacing w:before="100" w:beforeAutospacing="1" w:after="120"/>
        <w:rPr>
          <w:rFonts w:cs="Times New Roman"/>
          <w:kern w:val="0"/>
          <w:sz w:val="24"/>
          <w:szCs w:val="24"/>
        </w:rPr>
      </w:pPr>
      <w:r w:rsidRPr="006E1E8C">
        <w:rPr>
          <w:rFonts w:cs="Times New Roman"/>
          <w:kern w:val="0"/>
          <w:sz w:val="24"/>
          <w:szCs w:val="24"/>
        </w:rPr>
        <w:t>Figure 3 caption: where it reads “Roman unit” it should read “Raman unit”.</w:t>
      </w:r>
    </w:p>
    <w:p w14:paraId="4F3C8098" w14:textId="77777777" w:rsidR="00061DA7" w:rsidRPr="00061DA7" w:rsidRDefault="00061DA7" w:rsidP="00093D0E">
      <w:pPr>
        <w:widowControl/>
        <w:spacing w:before="100" w:beforeAutospacing="1" w:after="120"/>
        <w:rPr>
          <w:rFonts w:cs="Times New Roman"/>
          <w:kern w:val="0"/>
          <w:sz w:val="24"/>
          <w:szCs w:val="24"/>
        </w:rPr>
      </w:pPr>
      <w:r w:rsidRPr="00061DA7">
        <w:rPr>
          <w:rFonts w:cs="Times New Roman"/>
          <w:b/>
          <w:bCs/>
          <w:kern w:val="0"/>
          <w:sz w:val="24"/>
          <w:szCs w:val="24"/>
        </w:rPr>
        <w:t>Thank you again for your advice</w:t>
      </w:r>
      <w:r>
        <w:rPr>
          <w:rFonts w:cs="Times New Roman"/>
          <w:b/>
          <w:bCs/>
          <w:kern w:val="0"/>
          <w:sz w:val="24"/>
          <w:szCs w:val="24"/>
        </w:rPr>
        <w:t>.</w:t>
      </w:r>
      <w:r w:rsidRPr="00061DA7">
        <w:rPr>
          <w:rFonts w:cs="Times New Roman"/>
          <w:b/>
          <w:bCs/>
          <w:kern w:val="0"/>
          <w:sz w:val="24"/>
          <w:szCs w:val="24"/>
        </w:rPr>
        <w:t xml:space="preserve"> </w:t>
      </w:r>
      <w:r w:rsidRPr="00061DA7">
        <w:rPr>
          <w:rFonts w:cs="Times New Roman"/>
          <w:kern w:val="0"/>
          <w:sz w:val="24"/>
          <w:szCs w:val="24"/>
        </w:rPr>
        <w:t>We have corrected the wrong character of “Raman”</w:t>
      </w:r>
      <w:r>
        <w:rPr>
          <w:rFonts w:cs="Times New Roman"/>
          <w:kern w:val="0"/>
          <w:sz w:val="24"/>
          <w:szCs w:val="24"/>
        </w:rPr>
        <w:t xml:space="preserve"> in the Figure 3 caption</w:t>
      </w:r>
      <w:r w:rsidRPr="00061DA7">
        <w:rPr>
          <w:rFonts w:cs="Times New Roman"/>
          <w:kern w:val="0"/>
          <w:sz w:val="24"/>
          <w:szCs w:val="24"/>
        </w:rPr>
        <w:t>. They are now read as follows,</w:t>
      </w:r>
    </w:p>
    <w:p w14:paraId="5F1E3669" w14:textId="77777777" w:rsidR="00061DA7" w:rsidRPr="006E1E8C" w:rsidRDefault="00061DA7" w:rsidP="00093D0E">
      <w:pPr>
        <w:widowControl/>
        <w:spacing w:before="100" w:beforeAutospacing="1" w:after="120"/>
        <w:rPr>
          <w:rFonts w:cs="Times New Roman"/>
          <w:kern w:val="0"/>
          <w:sz w:val="24"/>
          <w:szCs w:val="24"/>
        </w:rPr>
      </w:pPr>
      <w:r w:rsidRPr="00061DA7">
        <w:rPr>
          <w:rFonts w:cs="Times New Roman"/>
          <w:kern w:val="0"/>
          <w:sz w:val="24"/>
          <w:szCs w:val="24"/>
        </w:rPr>
        <w:t>Figure 3: “Size distributions of WSOC and AFI in winter and summer. AFI was in Raman unit.”</w:t>
      </w:r>
    </w:p>
    <w:p w14:paraId="251A4944" w14:textId="77777777" w:rsidR="00275497" w:rsidRDefault="00275497" w:rsidP="00093D0E">
      <w:pPr>
        <w:widowControl/>
        <w:numPr>
          <w:ilvl w:val="0"/>
          <w:numId w:val="4"/>
        </w:numPr>
        <w:spacing w:before="100" w:beforeAutospacing="1" w:after="120"/>
        <w:rPr>
          <w:rFonts w:cs="Times New Roman"/>
          <w:kern w:val="0"/>
          <w:sz w:val="24"/>
          <w:szCs w:val="24"/>
        </w:rPr>
      </w:pPr>
      <w:r w:rsidRPr="006E1E8C">
        <w:rPr>
          <w:rFonts w:cs="Times New Roman"/>
          <w:kern w:val="0"/>
          <w:sz w:val="24"/>
          <w:szCs w:val="24"/>
        </w:rPr>
        <w:t>Table 1: please, include the units of the WSOC and WSIN concentrations (micrograms per cubic meter?). Moreover, in Table’s caption, where it reads “standard divisions” it should read “standard deviations”.</w:t>
      </w:r>
    </w:p>
    <w:p w14:paraId="7C79777D" w14:textId="77777777" w:rsidR="00061DA7" w:rsidRDefault="00061DA7" w:rsidP="00093D0E">
      <w:pPr>
        <w:widowControl/>
        <w:spacing w:before="100" w:beforeAutospacing="1" w:after="120"/>
        <w:rPr>
          <w:rFonts w:cs="Times New Roman"/>
          <w:kern w:val="0"/>
          <w:sz w:val="24"/>
          <w:szCs w:val="24"/>
        </w:rPr>
      </w:pPr>
      <w:r w:rsidRPr="00061DA7">
        <w:rPr>
          <w:rFonts w:cs="Times New Roman"/>
          <w:b/>
          <w:bCs/>
          <w:kern w:val="0"/>
          <w:sz w:val="24"/>
          <w:szCs w:val="24"/>
        </w:rPr>
        <w:t>Thank you for your advice</w:t>
      </w:r>
      <w:r>
        <w:rPr>
          <w:rFonts w:cs="Times New Roman"/>
          <w:b/>
          <w:bCs/>
          <w:kern w:val="0"/>
          <w:sz w:val="24"/>
          <w:szCs w:val="24"/>
        </w:rPr>
        <w:t xml:space="preserve"> and we are sorry for missing units </w:t>
      </w:r>
      <w:r w:rsidR="0047502F">
        <w:rPr>
          <w:rFonts w:cs="Times New Roman"/>
          <w:b/>
          <w:bCs/>
          <w:kern w:val="0"/>
          <w:sz w:val="24"/>
          <w:szCs w:val="24"/>
        </w:rPr>
        <w:t>in Table 1</w:t>
      </w:r>
      <w:r w:rsidRPr="00061DA7">
        <w:rPr>
          <w:rFonts w:cs="Times New Roman"/>
          <w:b/>
          <w:bCs/>
          <w:kern w:val="0"/>
          <w:sz w:val="24"/>
          <w:szCs w:val="24"/>
        </w:rPr>
        <w:t>.</w:t>
      </w:r>
      <w:r w:rsidR="0047502F">
        <w:rPr>
          <w:rFonts w:cs="Times New Roman"/>
          <w:kern w:val="0"/>
          <w:sz w:val="24"/>
          <w:szCs w:val="24"/>
        </w:rPr>
        <w:t xml:space="preserve"> The chemical concentrations are all in units of mg∙m</w:t>
      </w:r>
      <w:r w:rsidR="0047502F">
        <w:rPr>
          <w:rFonts w:cs="Times New Roman"/>
          <w:kern w:val="0"/>
          <w:sz w:val="24"/>
          <w:szCs w:val="24"/>
          <w:vertAlign w:val="superscript"/>
        </w:rPr>
        <w:t>-3</w:t>
      </w:r>
      <w:r w:rsidR="0047502F">
        <w:rPr>
          <w:rFonts w:cs="Times New Roman"/>
          <w:kern w:val="0"/>
          <w:sz w:val="24"/>
          <w:szCs w:val="24"/>
        </w:rPr>
        <w:t>. We corrected the wrong word of deviations in the caption as well.</w:t>
      </w:r>
    </w:p>
    <w:p w14:paraId="5AE9E2AE" w14:textId="77777777" w:rsidR="0047502F" w:rsidRPr="0047502F" w:rsidRDefault="0047502F" w:rsidP="00093D0E">
      <w:pPr>
        <w:widowControl/>
        <w:spacing w:line="360" w:lineRule="auto"/>
        <w:rPr>
          <w:rFonts w:cs="Times New Roman"/>
          <w:kern w:val="0"/>
          <w:sz w:val="24"/>
          <w:szCs w:val="24"/>
          <w:lang w:val="en-GB"/>
        </w:rPr>
      </w:pPr>
      <w:r w:rsidRPr="0047502F">
        <w:rPr>
          <w:rFonts w:cs="Times New Roman"/>
          <w:b/>
          <w:bCs/>
          <w:kern w:val="0"/>
          <w:sz w:val="20"/>
          <w:szCs w:val="24"/>
          <w:lang w:val="en-GB" w:eastAsia="de-DE"/>
        </w:rPr>
        <w:t xml:space="preserve">Table </w:t>
      </w:r>
      <w:r w:rsidR="006114A6" w:rsidRPr="0047502F">
        <w:rPr>
          <w:rFonts w:cs="Times New Roman"/>
          <w:b/>
          <w:bCs/>
          <w:kern w:val="0"/>
          <w:sz w:val="20"/>
          <w:szCs w:val="24"/>
          <w:lang w:val="en-GB" w:eastAsia="de-DE"/>
        </w:rPr>
        <w:fldChar w:fldCharType="begin"/>
      </w:r>
      <w:r w:rsidRPr="0047502F">
        <w:rPr>
          <w:rFonts w:cs="Times New Roman"/>
          <w:b/>
          <w:bCs/>
          <w:kern w:val="0"/>
          <w:sz w:val="20"/>
          <w:szCs w:val="24"/>
          <w:lang w:val="en-GB" w:eastAsia="de-DE"/>
        </w:rPr>
        <w:instrText xml:space="preserve"> SEQ Table \* ARABIC </w:instrText>
      </w:r>
      <w:r w:rsidR="006114A6" w:rsidRPr="0047502F">
        <w:rPr>
          <w:rFonts w:cs="Times New Roman"/>
          <w:b/>
          <w:bCs/>
          <w:kern w:val="0"/>
          <w:sz w:val="20"/>
          <w:szCs w:val="24"/>
          <w:lang w:val="en-GB" w:eastAsia="de-DE"/>
        </w:rPr>
        <w:fldChar w:fldCharType="separate"/>
      </w:r>
      <w:r w:rsidRPr="0047502F">
        <w:rPr>
          <w:rFonts w:cs="Times New Roman"/>
          <w:b/>
          <w:bCs/>
          <w:noProof/>
          <w:kern w:val="0"/>
          <w:sz w:val="20"/>
          <w:szCs w:val="24"/>
          <w:lang w:val="en-GB" w:eastAsia="de-DE"/>
        </w:rPr>
        <w:t>1</w:t>
      </w:r>
      <w:r w:rsidR="006114A6" w:rsidRPr="0047502F">
        <w:rPr>
          <w:rFonts w:cs="Times New Roman"/>
          <w:kern w:val="0"/>
          <w:sz w:val="20"/>
          <w:szCs w:val="24"/>
          <w:lang w:val="en-GB" w:eastAsia="de-DE"/>
        </w:rPr>
        <w:fldChar w:fldCharType="end"/>
      </w:r>
      <w:r w:rsidRPr="0047502F">
        <w:rPr>
          <w:rFonts w:cs="Times New Roman"/>
          <w:b/>
          <w:bCs/>
          <w:kern w:val="0"/>
          <w:sz w:val="20"/>
          <w:szCs w:val="24"/>
          <w:lang w:val="en-GB" w:eastAsia="de-DE"/>
        </w:rPr>
        <w:t xml:space="preserve"> Size-segregated average WSOC, WSIN concentrations, and their standard deviations.</w:t>
      </w:r>
    </w:p>
    <w:tbl>
      <w:tblPr>
        <w:tblW w:w="5000" w:type="pct"/>
        <w:tblLook w:val="04A0" w:firstRow="1" w:lastRow="0" w:firstColumn="1" w:lastColumn="0" w:noHBand="0" w:noVBand="1"/>
      </w:tblPr>
      <w:tblGrid>
        <w:gridCol w:w="877"/>
        <w:gridCol w:w="1364"/>
        <w:gridCol w:w="1010"/>
        <w:gridCol w:w="1038"/>
        <w:gridCol w:w="1038"/>
        <w:gridCol w:w="957"/>
        <w:gridCol w:w="1011"/>
        <w:gridCol w:w="1011"/>
      </w:tblGrid>
      <w:tr w:rsidR="0047502F" w:rsidRPr="0047502F" w14:paraId="25414A10" w14:textId="77777777" w:rsidTr="00AA6146">
        <w:trPr>
          <w:trHeight w:val="276"/>
        </w:trPr>
        <w:tc>
          <w:tcPr>
            <w:tcW w:w="547" w:type="pct"/>
            <w:tcBorders>
              <w:top w:val="single" w:sz="4" w:space="0" w:color="auto"/>
              <w:left w:val="nil"/>
              <w:bottom w:val="single" w:sz="4" w:space="0" w:color="auto"/>
              <w:right w:val="nil"/>
            </w:tcBorders>
            <w:tcMar>
              <w:left w:w="0" w:type="dxa"/>
              <w:right w:w="0" w:type="dxa"/>
            </w:tcMar>
            <w:vAlign w:val="center"/>
          </w:tcPr>
          <w:p w14:paraId="59AA192E"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single" w:sz="4" w:space="0" w:color="auto"/>
              <w:left w:val="nil"/>
              <w:bottom w:val="single" w:sz="4" w:space="0" w:color="auto"/>
              <w:right w:val="nil"/>
            </w:tcBorders>
            <w:shd w:val="clear" w:color="auto" w:fill="auto"/>
            <w:noWrap/>
            <w:tcMar>
              <w:left w:w="0" w:type="dxa"/>
              <w:right w:w="0" w:type="dxa"/>
            </w:tcMar>
            <w:vAlign w:val="bottom"/>
            <w:hideMark/>
          </w:tcPr>
          <w:p w14:paraId="6D94F018" w14:textId="77777777" w:rsidR="0047502F" w:rsidRPr="0047502F" w:rsidRDefault="0047502F" w:rsidP="00093D0E">
            <w:pPr>
              <w:widowControl/>
              <w:spacing w:line="360" w:lineRule="auto"/>
              <w:rPr>
                <w:rFonts w:cs="Times New Roman"/>
                <w:kern w:val="0"/>
                <w:sz w:val="20"/>
                <w:szCs w:val="24"/>
                <w:lang w:val="en-GB"/>
              </w:rPr>
            </w:pPr>
            <w:r w:rsidRPr="0047502F">
              <w:rPr>
                <w:rFonts w:cs="Times New Roman"/>
                <w:kern w:val="0"/>
                <w:sz w:val="20"/>
                <w:szCs w:val="24"/>
                <w:lang w:val="en-GB"/>
              </w:rPr>
              <w:t>Species (mg∙m</w:t>
            </w:r>
            <w:r w:rsidRPr="0047502F">
              <w:rPr>
                <w:rFonts w:cs="Times New Roman"/>
                <w:kern w:val="0"/>
                <w:sz w:val="20"/>
                <w:szCs w:val="24"/>
                <w:vertAlign w:val="superscript"/>
                <w:lang w:val="en-GB"/>
              </w:rPr>
              <w:t>-3</w:t>
            </w:r>
            <w:r w:rsidRPr="0047502F">
              <w:rPr>
                <w:rFonts w:cs="Times New Roman"/>
                <w:kern w:val="0"/>
                <w:sz w:val="20"/>
                <w:szCs w:val="24"/>
                <w:lang w:val="en-GB"/>
              </w:rPr>
              <w:t>)</w:t>
            </w:r>
          </w:p>
        </w:tc>
        <w:tc>
          <w:tcPr>
            <w:tcW w:w="627" w:type="pct"/>
            <w:tcBorders>
              <w:top w:val="single" w:sz="4" w:space="0" w:color="auto"/>
              <w:left w:val="nil"/>
              <w:bottom w:val="single" w:sz="4" w:space="0" w:color="auto"/>
              <w:right w:val="nil"/>
            </w:tcBorders>
            <w:shd w:val="clear" w:color="auto" w:fill="auto"/>
            <w:noWrap/>
            <w:tcMar>
              <w:left w:w="0" w:type="dxa"/>
              <w:right w:w="0" w:type="dxa"/>
            </w:tcMar>
            <w:vAlign w:val="bottom"/>
            <w:hideMark/>
          </w:tcPr>
          <w:p w14:paraId="05CBC8A0"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&lt;0.26 µm</w:t>
            </w:r>
          </w:p>
        </w:tc>
        <w:tc>
          <w:tcPr>
            <w:tcW w:w="627" w:type="pct"/>
            <w:tcBorders>
              <w:top w:val="single" w:sz="4" w:space="0" w:color="auto"/>
              <w:left w:val="nil"/>
              <w:bottom w:val="single" w:sz="4" w:space="0" w:color="auto"/>
              <w:right w:val="nil"/>
            </w:tcBorders>
            <w:shd w:val="clear" w:color="auto" w:fill="auto"/>
            <w:noWrap/>
            <w:tcMar>
              <w:left w:w="0" w:type="dxa"/>
              <w:right w:w="0" w:type="dxa"/>
            </w:tcMar>
            <w:vAlign w:val="bottom"/>
            <w:hideMark/>
          </w:tcPr>
          <w:p w14:paraId="75DC57FF"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0.26-0.44µm</w:t>
            </w:r>
          </w:p>
        </w:tc>
        <w:tc>
          <w:tcPr>
            <w:tcW w:w="627" w:type="pct"/>
            <w:tcBorders>
              <w:top w:val="single" w:sz="4" w:space="0" w:color="auto"/>
              <w:left w:val="nil"/>
              <w:bottom w:val="single" w:sz="4" w:space="0" w:color="auto"/>
              <w:right w:val="nil"/>
            </w:tcBorders>
            <w:shd w:val="clear" w:color="auto" w:fill="auto"/>
            <w:noWrap/>
            <w:tcMar>
              <w:left w:w="0" w:type="dxa"/>
              <w:right w:w="0" w:type="dxa"/>
            </w:tcMar>
            <w:vAlign w:val="bottom"/>
            <w:hideMark/>
          </w:tcPr>
          <w:p w14:paraId="2128C27B"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0.44-0.77µm</w:t>
            </w:r>
          </w:p>
        </w:tc>
        <w:tc>
          <w:tcPr>
            <w:tcW w:w="627" w:type="pct"/>
            <w:tcBorders>
              <w:top w:val="single" w:sz="4" w:space="0" w:color="auto"/>
              <w:left w:val="nil"/>
              <w:bottom w:val="single" w:sz="4" w:space="0" w:color="auto"/>
              <w:right w:val="nil"/>
            </w:tcBorders>
            <w:shd w:val="clear" w:color="auto" w:fill="auto"/>
            <w:noWrap/>
            <w:tcMar>
              <w:left w:w="0" w:type="dxa"/>
              <w:right w:w="0" w:type="dxa"/>
            </w:tcMar>
            <w:vAlign w:val="bottom"/>
            <w:hideMark/>
          </w:tcPr>
          <w:p w14:paraId="33B9B171"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0.77-1.4µm</w:t>
            </w:r>
          </w:p>
        </w:tc>
        <w:tc>
          <w:tcPr>
            <w:tcW w:w="627" w:type="pct"/>
            <w:tcBorders>
              <w:top w:val="single" w:sz="4" w:space="0" w:color="auto"/>
              <w:left w:val="nil"/>
              <w:bottom w:val="single" w:sz="4" w:space="0" w:color="auto"/>
              <w:right w:val="nil"/>
            </w:tcBorders>
            <w:shd w:val="clear" w:color="auto" w:fill="auto"/>
            <w:noWrap/>
            <w:tcMar>
              <w:left w:w="0" w:type="dxa"/>
              <w:right w:w="0" w:type="dxa"/>
            </w:tcMar>
            <w:vAlign w:val="bottom"/>
            <w:hideMark/>
          </w:tcPr>
          <w:p w14:paraId="75D8FDD6"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1.4-2.5µm</w:t>
            </w:r>
          </w:p>
        </w:tc>
        <w:tc>
          <w:tcPr>
            <w:tcW w:w="627" w:type="pct"/>
            <w:tcBorders>
              <w:top w:val="single" w:sz="4" w:space="0" w:color="auto"/>
              <w:left w:val="nil"/>
              <w:bottom w:val="single" w:sz="4" w:space="0" w:color="auto"/>
              <w:right w:val="nil"/>
            </w:tcBorders>
            <w:shd w:val="clear" w:color="auto" w:fill="auto"/>
            <w:noWrap/>
            <w:tcMar>
              <w:left w:w="0" w:type="dxa"/>
              <w:right w:w="0" w:type="dxa"/>
            </w:tcMar>
            <w:vAlign w:val="bottom"/>
            <w:hideMark/>
          </w:tcPr>
          <w:p w14:paraId="208EE70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2.5-10 µm</w:t>
            </w:r>
          </w:p>
        </w:tc>
      </w:tr>
      <w:tr w:rsidR="0047502F" w:rsidRPr="0047502F" w14:paraId="55AD3EEF" w14:textId="77777777" w:rsidTr="00AA6146">
        <w:trPr>
          <w:trHeight w:val="276"/>
        </w:trPr>
        <w:tc>
          <w:tcPr>
            <w:tcW w:w="547" w:type="pct"/>
            <w:vMerge w:val="restart"/>
            <w:tcBorders>
              <w:top w:val="single" w:sz="4" w:space="0" w:color="auto"/>
              <w:left w:val="nil"/>
              <w:right w:val="nil"/>
            </w:tcBorders>
            <w:tcMar>
              <w:left w:w="0" w:type="dxa"/>
              <w:right w:w="0" w:type="dxa"/>
            </w:tcMar>
            <w:vAlign w:val="center"/>
          </w:tcPr>
          <w:p w14:paraId="54C317D6"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Winter</w:t>
            </w:r>
          </w:p>
        </w:tc>
        <w:tc>
          <w:tcPr>
            <w:tcW w:w="689" w:type="pct"/>
            <w:tcBorders>
              <w:top w:val="single" w:sz="4" w:space="0" w:color="auto"/>
              <w:left w:val="nil"/>
              <w:bottom w:val="nil"/>
              <w:right w:val="nil"/>
            </w:tcBorders>
            <w:shd w:val="clear" w:color="auto" w:fill="auto"/>
            <w:noWrap/>
            <w:tcMar>
              <w:left w:w="0" w:type="dxa"/>
              <w:right w:w="0" w:type="dxa"/>
            </w:tcMar>
            <w:vAlign w:val="bottom"/>
            <w:hideMark/>
          </w:tcPr>
          <w:p w14:paraId="5B764648"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Cl</w:t>
            </w:r>
            <w:r w:rsidRPr="0047502F">
              <w:rPr>
                <w:rFonts w:cs="Times New Roman"/>
                <w:kern w:val="0"/>
                <w:sz w:val="20"/>
                <w:szCs w:val="24"/>
                <w:vertAlign w:val="superscript"/>
                <w:lang w:val="en-GB" w:eastAsia="de-DE"/>
              </w:rPr>
              <w:t xml:space="preserve">- </w:t>
            </w:r>
          </w:p>
        </w:tc>
        <w:tc>
          <w:tcPr>
            <w:tcW w:w="627" w:type="pct"/>
            <w:tcBorders>
              <w:top w:val="single" w:sz="4" w:space="0" w:color="auto"/>
              <w:left w:val="nil"/>
              <w:bottom w:val="nil"/>
              <w:right w:val="nil"/>
            </w:tcBorders>
            <w:shd w:val="clear" w:color="auto" w:fill="auto"/>
            <w:noWrap/>
            <w:tcMar>
              <w:left w:w="0" w:type="dxa"/>
              <w:right w:w="0" w:type="dxa"/>
            </w:tcMar>
            <w:vAlign w:val="bottom"/>
            <w:hideMark/>
          </w:tcPr>
          <w:p w14:paraId="63731451"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0.42±0.25</w:t>
            </w:r>
          </w:p>
        </w:tc>
        <w:tc>
          <w:tcPr>
            <w:tcW w:w="627" w:type="pct"/>
            <w:tcBorders>
              <w:top w:val="single" w:sz="4" w:space="0" w:color="auto"/>
              <w:left w:val="nil"/>
              <w:bottom w:val="nil"/>
              <w:right w:val="nil"/>
            </w:tcBorders>
            <w:shd w:val="clear" w:color="auto" w:fill="auto"/>
            <w:noWrap/>
            <w:tcMar>
              <w:left w:w="0" w:type="dxa"/>
              <w:right w:w="0" w:type="dxa"/>
            </w:tcMar>
            <w:vAlign w:val="bottom"/>
            <w:hideMark/>
          </w:tcPr>
          <w:p w14:paraId="50DF514C"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1.36±1.21</w:t>
            </w:r>
          </w:p>
        </w:tc>
        <w:tc>
          <w:tcPr>
            <w:tcW w:w="627" w:type="pct"/>
            <w:tcBorders>
              <w:top w:val="single" w:sz="4" w:space="0" w:color="auto"/>
              <w:left w:val="nil"/>
              <w:bottom w:val="nil"/>
              <w:right w:val="nil"/>
            </w:tcBorders>
            <w:shd w:val="clear" w:color="auto" w:fill="auto"/>
            <w:noWrap/>
            <w:tcMar>
              <w:left w:w="0" w:type="dxa"/>
              <w:right w:w="0" w:type="dxa"/>
            </w:tcMar>
            <w:vAlign w:val="bottom"/>
            <w:hideMark/>
          </w:tcPr>
          <w:p w14:paraId="223EC3B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0.83±0.72</w:t>
            </w:r>
          </w:p>
        </w:tc>
        <w:tc>
          <w:tcPr>
            <w:tcW w:w="627" w:type="pct"/>
            <w:tcBorders>
              <w:top w:val="single" w:sz="4" w:space="0" w:color="auto"/>
              <w:left w:val="nil"/>
              <w:bottom w:val="nil"/>
              <w:right w:val="nil"/>
            </w:tcBorders>
            <w:shd w:val="clear" w:color="auto" w:fill="auto"/>
            <w:noWrap/>
            <w:tcMar>
              <w:left w:w="0" w:type="dxa"/>
              <w:right w:w="0" w:type="dxa"/>
            </w:tcMar>
            <w:vAlign w:val="bottom"/>
            <w:hideMark/>
          </w:tcPr>
          <w:p w14:paraId="5CE683DD"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1.03±0.98</w:t>
            </w:r>
          </w:p>
        </w:tc>
        <w:tc>
          <w:tcPr>
            <w:tcW w:w="627" w:type="pct"/>
            <w:tcBorders>
              <w:top w:val="single" w:sz="4" w:space="0" w:color="auto"/>
              <w:left w:val="nil"/>
              <w:bottom w:val="nil"/>
              <w:right w:val="nil"/>
            </w:tcBorders>
            <w:shd w:val="clear" w:color="auto" w:fill="auto"/>
            <w:noWrap/>
            <w:tcMar>
              <w:left w:w="0" w:type="dxa"/>
              <w:right w:w="0" w:type="dxa"/>
            </w:tcMar>
            <w:vAlign w:val="bottom"/>
            <w:hideMark/>
          </w:tcPr>
          <w:p w14:paraId="125DAD53"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1.19±1.27</w:t>
            </w:r>
          </w:p>
        </w:tc>
        <w:tc>
          <w:tcPr>
            <w:tcW w:w="627" w:type="pct"/>
            <w:tcBorders>
              <w:top w:val="single" w:sz="4" w:space="0" w:color="auto"/>
              <w:left w:val="nil"/>
              <w:bottom w:val="nil"/>
              <w:right w:val="nil"/>
            </w:tcBorders>
            <w:shd w:val="clear" w:color="auto" w:fill="auto"/>
            <w:noWrap/>
            <w:tcMar>
              <w:left w:w="0" w:type="dxa"/>
              <w:right w:w="0" w:type="dxa"/>
            </w:tcMar>
            <w:vAlign w:val="bottom"/>
            <w:hideMark/>
          </w:tcPr>
          <w:p w14:paraId="2ECEFC2E"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0.43±0.45</w:t>
            </w:r>
          </w:p>
        </w:tc>
      </w:tr>
      <w:tr w:rsidR="0047502F" w:rsidRPr="0047502F" w14:paraId="14B48889" w14:textId="77777777" w:rsidTr="00AA6146">
        <w:trPr>
          <w:trHeight w:val="276"/>
        </w:trPr>
        <w:tc>
          <w:tcPr>
            <w:tcW w:w="547" w:type="pct"/>
            <w:vMerge/>
            <w:tcBorders>
              <w:left w:val="nil"/>
              <w:right w:val="nil"/>
            </w:tcBorders>
            <w:tcMar>
              <w:left w:w="0" w:type="dxa"/>
              <w:right w:w="0" w:type="dxa"/>
            </w:tcMar>
          </w:tcPr>
          <w:p w14:paraId="725448F0"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267F1188"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NO</w:t>
            </w:r>
            <w:r w:rsidRPr="0047502F">
              <w:rPr>
                <w:rFonts w:cs="Times New Roman"/>
                <w:kern w:val="0"/>
                <w:sz w:val="20"/>
                <w:szCs w:val="24"/>
                <w:vertAlign w:val="subscript"/>
                <w:lang w:val="en-GB" w:eastAsia="de-DE"/>
              </w:rPr>
              <w:t>3</w:t>
            </w:r>
            <w:r w:rsidRPr="0047502F">
              <w:rPr>
                <w:rFonts w:cs="Times New Roman"/>
                <w:kern w:val="0"/>
                <w:sz w:val="20"/>
                <w:szCs w:val="24"/>
                <w:vertAlign w:val="superscript"/>
                <w:lang w:val="en-GB" w:eastAsia="de-DE"/>
              </w:rPr>
              <w:t>-</w:t>
            </w:r>
          </w:p>
        </w:tc>
        <w:tc>
          <w:tcPr>
            <w:tcW w:w="627" w:type="pct"/>
            <w:tcBorders>
              <w:top w:val="nil"/>
              <w:left w:val="nil"/>
              <w:bottom w:val="nil"/>
              <w:right w:val="nil"/>
            </w:tcBorders>
            <w:shd w:val="clear" w:color="auto" w:fill="auto"/>
            <w:noWrap/>
            <w:tcMar>
              <w:left w:w="0" w:type="dxa"/>
              <w:right w:w="0" w:type="dxa"/>
            </w:tcMar>
            <w:vAlign w:val="bottom"/>
            <w:hideMark/>
          </w:tcPr>
          <w:p w14:paraId="73D04913"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2.08±1.43</w:t>
            </w:r>
          </w:p>
        </w:tc>
        <w:tc>
          <w:tcPr>
            <w:tcW w:w="627" w:type="pct"/>
            <w:tcBorders>
              <w:top w:val="nil"/>
              <w:left w:val="nil"/>
              <w:bottom w:val="nil"/>
              <w:right w:val="nil"/>
            </w:tcBorders>
            <w:shd w:val="clear" w:color="auto" w:fill="auto"/>
            <w:noWrap/>
            <w:tcMar>
              <w:left w:w="0" w:type="dxa"/>
              <w:right w:w="0" w:type="dxa"/>
            </w:tcMar>
            <w:vAlign w:val="bottom"/>
            <w:hideMark/>
          </w:tcPr>
          <w:p w14:paraId="1890405C"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9.42±8.46</w:t>
            </w:r>
          </w:p>
        </w:tc>
        <w:tc>
          <w:tcPr>
            <w:tcW w:w="627" w:type="pct"/>
            <w:tcBorders>
              <w:top w:val="nil"/>
              <w:left w:val="nil"/>
              <w:bottom w:val="nil"/>
              <w:right w:val="nil"/>
            </w:tcBorders>
            <w:shd w:val="clear" w:color="auto" w:fill="auto"/>
            <w:noWrap/>
            <w:tcMar>
              <w:left w:w="0" w:type="dxa"/>
              <w:right w:w="0" w:type="dxa"/>
            </w:tcMar>
            <w:vAlign w:val="bottom"/>
            <w:hideMark/>
          </w:tcPr>
          <w:p w14:paraId="7101D6F8"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5.64±5.61</w:t>
            </w:r>
          </w:p>
        </w:tc>
        <w:tc>
          <w:tcPr>
            <w:tcW w:w="627" w:type="pct"/>
            <w:tcBorders>
              <w:top w:val="nil"/>
              <w:left w:val="nil"/>
              <w:bottom w:val="nil"/>
              <w:right w:val="nil"/>
            </w:tcBorders>
            <w:shd w:val="clear" w:color="auto" w:fill="auto"/>
            <w:noWrap/>
            <w:tcMar>
              <w:left w:w="0" w:type="dxa"/>
              <w:right w:w="0" w:type="dxa"/>
            </w:tcMar>
            <w:vAlign w:val="bottom"/>
            <w:hideMark/>
          </w:tcPr>
          <w:p w14:paraId="6EA0E838"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7.37±8.9</w:t>
            </w:r>
          </w:p>
        </w:tc>
        <w:tc>
          <w:tcPr>
            <w:tcW w:w="627" w:type="pct"/>
            <w:tcBorders>
              <w:top w:val="nil"/>
              <w:left w:val="nil"/>
              <w:bottom w:val="nil"/>
              <w:right w:val="nil"/>
            </w:tcBorders>
            <w:shd w:val="clear" w:color="auto" w:fill="auto"/>
            <w:noWrap/>
            <w:tcMar>
              <w:left w:w="0" w:type="dxa"/>
              <w:right w:w="0" w:type="dxa"/>
            </w:tcMar>
            <w:vAlign w:val="bottom"/>
            <w:hideMark/>
          </w:tcPr>
          <w:p w14:paraId="2DF99D90"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6.72±9.44</w:t>
            </w:r>
          </w:p>
        </w:tc>
        <w:tc>
          <w:tcPr>
            <w:tcW w:w="627" w:type="pct"/>
            <w:tcBorders>
              <w:top w:val="nil"/>
              <w:left w:val="nil"/>
              <w:bottom w:val="nil"/>
              <w:right w:val="nil"/>
            </w:tcBorders>
            <w:shd w:val="clear" w:color="auto" w:fill="auto"/>
            <w:noWrap/>
            <w:tcMar>
              <w:left w:w="0" w:type="dxa"/>
              <w:right w:w="0" w:type="dxa"/>
            </w:tcMar>
            <w:vAlign w:val="bottom"/>
            <w:hideMark/>
          </w:tcPr>
          <w:p w14:paraId="5C1E6278"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1.92±3.28</w:t>
            </w:r>
          </w:p>
        </w:tc>
      </w:tr>
      <w:tr w:rsidR="0047502F" w:rsidRPr="0047502F" w14:paraId="6D083949" w14:textId="77777777" w:rsidTr="00AA6146">
        <w:trPr>
          <w:trHeight w:val="276"/>
        </w:trPr>
        <w:tc>
          <w:tcPr>
            <w:tcW w:w="547" w:type="pct"/>
            <w:vMerge/>
            <w:tcBorders>
              <w:left w:val="nil"/>
              <w:right w:val="nil"/>
            </w:tcBorders>
            <w:tcMar>
              <w:left w:w="0" w:type="dxa"/>
              <w:right w:w="0" w:type="dxa"/>
            </w:tcMar>
          </w:tcPr>
          <w:p w14:paraId="6CE6BBAB"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6ABA8F6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SO</w:t>
            </w:r>
            <w:r w:rsidRPr="0047502F">
              <w:rPr>
                <w:rFonts w:cs="Times New Roman"/>
                <w:kern w:val="0"/>
                <w:sz w:val="20"/>
                <w:szCs w:val="24"/>
                <w:vertAlign w:val="subscript"/>
                <w:lang w:val="en-GB" w:eastAsia="de-DE"/>
              </w:rPr>
              <w:t>4</w:t>
            </w:r>
            <w:r w:rsidRPr="0047502F">
              <w:rPr>
                <w:rFonts w:cs="Times New Roman"/>
                <w:kern w:val="0"/>
                <w:sz w:val="20"/>
                <w:szCs w:val="24"/>
                <w:vertAlign w:val="superscript"/>
                <w:lang w:val="en-GB" w:eastAsia="de-DE"/>
              </w:rPr>
              <w:t>2-</w:t>
            </w:r>
          </w:p>
        </w:tc>
        <w:tc>
          <w:tcPr>
            <w:tcW w:w="627" w:type="pct"/>
            <w:tcBorders>
              <w:top w:val="nil"/>
              <w:left w:val="nil"/>
              <w:bottom w:val="nil"/>
              <w:right w:val="nil"/>
            </w:tcBorders>
            <w:shd w:val="clear" w:color="auto" w:fill="auto"/>
            <w:noWrap/>
            <w:tcMar>
              <w:left w:w="0" w:type="dxa"/>
              <w:right w:w="0" w:type="dxa"/>
            </w:tcMar>
            <w:vAlign w:val="bottom"/>
            <w:hideMark/>
          </w:tcPr>
          <w:p w14:paraId="121C14B3"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1.05±0.6</w:t>
            </w:r>
          </w:p>
        </w:tc>
        <w:tc>
          <w:tcPr>
            <w:tcW w:w="627" w:type="pct"/>
            <w:tcBorders>
              <w:top w:val="nil"/>
              <w:left w:val="nil"/>
              <w:bottom w:val="nil"/>
              <w:right w:val="nil"/>
            </w:tcBorders>
            <w:shd w:val="clear" w:color="auto" w:fill="auto"/>
            <w:noWrap/>
            <w:tcMar>
              <w:left w:w="0" w:type="dxa"/>
              <w:right w:w="0" w:type="dxa"/>
            </w:tcMar>
            <w:vAlign w:val="bottom"/>
            <w:hideMark/>
          </w:tcPr>
          <w:p w14:paraId="5A52C5EE"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4.36±3.87</w:t>
            </w:r>
          </w:p>
        </w:tc>
        <w:tc>
          <w:tcPr>
            <w:tcW w:w="627" w:type="pct"/>
            <w:tcBorders>
              <w:top w:val="nil"/>
              <w:left w:val="nil"/>
              <w:bottom w:val="nil"/>
              <w:right w:val="nil"/>
            </w:tcBorders>
            <w:shd w:val="clear" w:color="auto" w:fill="auto"/>
            <w:noWrap/>
            <w:tcMar>
              <w:left w:w="0" w:type="dxa"/>
              <w:right w:w="0" w:type="dxa"/>
            </w:tcMar>
            <w:vAlign w:val="bottom"/>
            <w:hideMark/>
          </w:tcPr>
          <w:p w14:paraId="3480306D"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3.21±3.68</w:t>
            </w:r>
          </w:p>
        </w:tc>
        <w:tc>
          <w:tcPr>
            <w:tcW w:w="627" w:type="pct"/>
            <w:tcBorders>
              <w:top w:val="nil"/>
              <w:left w:val="nil"/>
              <w:bottom w:val="nil"/>
              <w:right w:val="nil"/>
            </w:tcBorders>
            <w:shd w:val="clear" w:color="auto" w:fill="auto"/>
            <w:noWrap/>
            <w:tcMar>
              <w:left w:w="0" w:type="dxa"/>
              <w:right w:w="0" w:type="dxa"/>
            </w:tcMar>
            <w:vAlign w:val="bottom"/>
            <w:hideMark/>
          </w:tcPr>
          <w:p w14:paraId="34CE8DD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5.44±9.43</w:t>
            </w:r>
          </w:p>
        </w:tc>
        <w:tc>
          <w:tcPr>
            <w:tcW w:w="627" w:type="pct"/>
            <w:tcBorders>
              <w:top w:val="nil"/>
              <w:left w:val="nil"/>
              <w:bottom w:val="nil"/>
              <w:right w:val="nil"/>
            </w:tcBorders>
            <w:shd w:val="clear" w:color="auto" w:fill="auto"/>
            <w:noWrap/>
            <w:tcMar>
              <w:left w:w="0" w:type="dxa"/>
              <w:right w:w="0" w:type="dxa"/>
            </w:tcMar>
            <w:vAlign w:val="bottom"/>
            <w:hideMark/>
          </w:tcPr>
          <w:p w14:paraId="7323DBC0"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4.68±7.03</w:t>
            </w:r>
          </w:p>
        </w:tc>
        <w:tc>
          <w:tcPr>
            <w:tcW w:w="627" w:type="pct"/>
            <w:tcBorders>
              <w:top w:val="nil"/>
              <w:left w:val="nil"/>
              <w:bottom w:val="nil"/>
              <w:right w:val="nil"/>
            </w:tcBorders>
            <w:shd w:val="clear" w:color="auto" w:fill="auto"/>
            <w:noWrap/>
            <w:tcMar>
              <w:left w:w="0" w:type="dxa"/>
              <w:right w:w="0" w:type="dxa"/>
            </w:tcMar>
            <w:vAlign w:val="bottom"/>
            <w:hideMark/>
          </w:tcPr>
          <w:p w14:paraId="41B23781"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1.18±1.52</w:t>
            </w:r>
          </w:p>
        </w:tc>
      </w:tr>
      <w:tr w:rsidR="0047502F" w:rsidRPr="0047502F" w14:paraId="1D63CE74" w14:textId="77777777" w:rsidTr="00AA6146">
        <w:trPr>
          <w:trHeight w:val="276"/>
        </w:trPr>
        <w:tc>
          <w:tcPr>
            <w:tcW w:w="547" w:type="pct"/>
            <w:vMerge/>
            <w:tcBorders>
              <w:left w:val="nil"/>
              <w:right w:val="nil"/>
            </w:tcBorders>
            <w:tcMar>
              <w:left w:w="0" w:type="dxa"/>
              <w:right w:w="0" w:type="dxa"/>
            </w:tcMar>
          </w:tcPr>
          <w:p w14:paraId="6F8A9529"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3289389C"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Na</w:t>
            </w:r>
            <w:r w:rsidRPr="0047502F">
              <w:rPr>
                <w:rFonts w:cs="Times New Roman"/>
                <w:kern w:val="0"/>
                <w:sz w:val="20"/>
                <w:szCs w:val="24"/>
                <w:vertAlign w:val="superscript"/>
                <w:lang w:val="en-GB" w:eastAsia="de-DE"/>
              </w:rPr>
              <w:t>+</w:t>
            </w:r>
          </w:p>
        </w:tc>
        <w:tc>
          <w:tcPr>
            <w:tcW w:w="627" w:type="pct"/>
            <w:tcBorders>
              <w:top w:val="nil"/>
              <w:left w:val="nil"/>
              <w:bottom w:val="nil"/>
              <w:right w:val="nil"/>
            </w:tcBorders>
            <w:shd w:val="clear" w:color="auto" w:fill="auto"/>
            <w:noWrap/>
            <w:tcMar>
              <w:left w:w="0" w:type="dxa"/>
              <w:right w:w="0" w:type="dxa"/>
            </w:tcMar>
            <w:vAlign w:val="bottom"/>
            <w:hideMark/>
          </w:tcPr>
          <w:p w14:paraId="554D961B"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0.12±0.05</w:t>
            </w:r>
          </w:p>
        </w:tc>
        <w:tc>
          <w:tcPr>
            <w:tcW w:w="627" w:type="pct"/>
            <w:tcBorders>
              <w:top w:val="nil"/>
              <w:left w:val="nil"/>
              <w:bottom w:val="nil"/>
              <w:right w:val="nil"/>
            </w:tcBorders>
            <w:shd w:val="clear" w:color="auto" w:fill="auto"/>
            <w:noWrap/>
            <w:tcMar>
              <w:left w:w="0" w:type="dxa"/>
              <w:right w:w="0" w:type="dxa"/>
            </w:tcMar>
            <w:vAlign w:val="bottom"/>
            <w:hideMark/>
          </w:tcPr>
          <w:p w14:paraId="1C84770E"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0.21±0.1</w:t>
            </w:r>
          </w:p>
        </w:tc>
        <w:tc>
          <w:tcPr>
            <w:tcW w:w="627" w:type="pct"/>
            <w:tcBorders>
              <w:top w:val="nil"/>
              <w:left w:val="nil"/>
              <w:bottom w:val="nil"/>
              <w:right w:val="nil"/>
            </w:tcBorders>
            <w:shd w:val="clear" w:color="auto" w:fill="auto"/>
            <w:noWrap/>
            <w:tcMar>
              <w:left w:w="0" w:type="dxa"/>
              <w:right w:w="0" w:type="dxa"/>
            </w:tcMar>
            <w:vAlign w:val="bottom"/>
            <w:hideMark/>
          </w:tcPr>
          <w:p w14:paraId="20D8277C"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0.16±0.08</w:t>
            </w:r>
          </w:p>
        </w:tc>
        <w:tc>
          <w:tcPr>
            <w:tcW w:w="627" w:type="pct"/>
            <w:tcBorders>
              <w:top w:val="nil"/>
              <w:left w:val="nil"/>
              <w:bottom w:val="nil"/>
              <w:right w:val="nil"/>
            </w:tcBorders>
            <w:shd w:val="clear" w:color="auto" w:fill="auto"/>
            <w:noWrap/>
            <w:tcMar>
              <w:left w:w="0" w:type="dxa"/>
              <w:right w:w="0" w:type="dxa"/>
            </w:tcMar>
            <w:vAlign w:val="bottom"/>
            <w:hideMark/>
          </w:tcPr>
          <w:p w14:paraId="1F6F79E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0.2±0.1</w:t>
            </w:r>
          </w:p>
        </w:tc>
        <w:tc>
          <w:tcPr>
            <w:tcW w:w="627" w:type="pct"/>
            <w:tcBorders>
              <w:top w:val="nil"/>
              <w:left w:val="nil"/>
              <w:bottom w:val="nil"/>
              <w:right w:val="nil"/>
            </w:tcBorders>
            <w:shd w:val="clear" w:color="auto" w:fill="auto"/>
            <w:noWrap/>
            <w:tcMar>
              <w:left w:w="0" w:type="dxa"/>
              <w:right w:w="0" w:type="dxa"/>
            </w:tcMar>
            <w:vAlign w:val="bottom"/>
            <w:hideMark/>
          </w:tcPr>
          <w:p w14:paraId="12A4025D"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0.52±0.6</w:t>
            </w:r>
          </w:p>
        </w:tc>
        <w:tc>
          <w:tcPr>
            <w:tcW w:w="627" w:type="pct"/>
            <w:tcBorders>
              <w:top w:val="nil"/>
              <w:left w:val="nil"/>
              <w:bottom w:val="nil"/>
              <w:right w:val="nil"/>
            </w:tcBorders>
            <w:shd w:val="clear" w:color="auto" w:fill="auto"/>
            <w:noWrap/>
            <w:tcMar>
              <w:left w:w="0" w:type="dxa"/>
              <w:right w:w="0" w:type="dxa"/>
            </w:tcMar>
            <w:vAlign w:val="bottom"/>
            <w:hideMark/>
          </w:tcPr>
          <w:p w14:paraId="38FB57CB"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0.24±0.25</w:t>
            </w:r>
          </w:p>
        </w:tc>
      </w:tr>
      <w:tr w:rsidR="0047502F" w:rsidRPr="0047502F" w14:paraId="7653EA70" w14:textId="77777777" w:rsidTr="00AA6146">
        <w:trPr>
          <w:trHeight w:val="276"/>
        </w:trPr>
        <w:tc>
          <w:tcPr>
            <w:tcW w:w="547" w:type="pct"/>
            <w:vMerge/>
            <w:tcBorders>
              <w:left w:val="nil"/>
              <w:right w:val="nil"/>
            </w:tcBorders>
            <w:tcMar>
              <w:left w:w="0" w:type="dxa"/>
              <w:right w:w="0" w:type="dxa"/>
            </w:tcMar>
          </w:tcPr>
          <w:p w14:paraId="18F40B77"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6568871B"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NH</w:t>
            </w:r>
            <w:r w:rsidRPr="0047502F">
              <w:rPr>
                <w:rFonts w:cs="Times New Roman"/>
                <w:kern w:val="0"/>
                <w:sz w:val="20"/>
                <w:szCs w:val="24"/>
                <w:vertAlign w:val="subscript"/>
                <w:lang w:val="en-GB" w:eastAsia="de-DE"/>
              </w:rPr>
              <w:t>4</w:t>
            </w:r>
            <w:r w:rsidRPr="0047502F">
              <w:rPr>
                <w:rFonts w:cs="Times New Roman"/>
                <w:kern w:val="0"/>
                <w:sz w:val="20"/>
                <w:szCs w:val="24"/>
                <w:vertAlign w:val="superscript"/>
                <w:lang w:val="en-GB" w:eastAsia="de-DE"/>
              </w:rPr>
              <w:t>+</w:t>
            </w:r>
          </w:p>
        </w:tc>
        <w:tc>
          <w:tcPr>
            <w:tcW w:w="627" w:type="pct"/>
            <w:tcBorders>
              <w:top w:val="nil"/>
              <w:left w:val="nil"/>
              <w:bottom w:val="nil"/>
              <w:right w:val="nil"/>
            </w:tcBorders>
            <w:shd w:val="clear" w:color="auto" w:fill="auto"/>
            <w:noWrap/>
            <w:tcMar>
              <w:left w:w="0" w:type="dxa"/>
              <w:right w:w="0" w:type="dxa"/>
            </w:tcMar>
            <w:vAlign w:val="bottom"/>
            <w:hideMark/>
          </w:tcPr>
          <w:p w14:paraId="7613FD7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1.05±0.57</w:t>
            </w:r>
          </w:p>
        </w:tc>
        <w:tc>
          <w:tcPr>
            <w:tcW w:w="627" w:type="pct"/>
            <w:tcBorders>
              <w:top w:val="nil"/>
              <w:left w:val="nil"/>
              <w:bottom w:val="nil"/>
              <w:right w:val="nil"/>
            </w:tcBorders>
            <w:shd w:val="clear" w:color="auto" w:fill="auto"/>
            <w:noWrap/>
            <w:tcMar>
              <w:left w:w="0" w:type="dxa"/>
              <w:right w:w="0" w:type="dxa"/>
            </w:tcMar>
            <w:vAlign w:val="bottom"/>
            <w:hideMark/>
          </w:tcPr>
          <w:p w14:paraId="77EF6BDC"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2.9±2.15</w:t>
            </w:r>
          </w:p>
        </w:tc>
        <w:tc>
          <w:tcPr>
            <w:tcW w:w="627" w:type="pct"/>
            <w:tcBorders>
              <w:top w:val="nil"/>
              <w:left w:val="nil"/>
              <w:bottom w:val="nil"/>
              <w:right w:val="nil"/>
            </w:tcBorders>
            <w:shd w:val="clear" w:color="auto" w:fill="auto"/>
            <w:noWrap/>
            <w:tcMar>
              <w:left w:w="0" w:type="dxa"/>
              <w:right w:w="0" w:type="dxa"/>
            </w:tcMar>
            <w:vAlign w:val="bottom"/>
            <w:hideMark/>
          </w:tcPr>
          <w:p w14:paraId="3709C897"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2.05±1.82</w:t>
            </w:r>
          </w:p>
        </w:tc>
        <w:tc>
          <w:tcPr>
            <w:tcW w:w="627" w:type="pct"/>
            <w:tcBorders>
              <w:top w:val="nil"/>
              <w:left w:val="nil"/>
              <w:bottom w:val="nil"/>
              <w:right w:val="nil"/>
            </w:tcBorders>
            <w:shd w:val="clear" w:color="auto" w:fill="auto"/>
            <w:noWrap/>
            <w:tcMar>
              <w:left w:w="0" w:type="dxa"/>
              <w:right w:w="0" w:type="dxa"/>
            </w:tcMar>
            <w:vAlign w:val="bottom"/>
            <w:hideMark/>
          </w:tcPr>
          <w:p w14:paraId="0D611177"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2.4±2.77</w:t>
            </w:r>
          </w:p>
        </w:tc>
        <w:tc>
          <w:tcPr>
            <w:tcW w:w="627" w:type="pct"/>
            <w:tcBorders>
              <w:top w:val="nil"/>
              <w:left w:val="nil"/>
              <w:bottom w:val="nil"/>
              <w:right w:val="nil"/>
            </w:tcBorders>
            <w:shd w:val="clear" w:color="auto" w:fill="auto"/>
            <w:noWrap/>
            <w:tcMar>
              <w:left w:w="0" w:type="dxa"/>
              <w:right w:w="0" w:type="dxa"/>
            </w:tcMar>
            <w:vAlign w:val="bottom"/>
            <w:hideMark/>
          </w:tcPr>
          <w:p w14:paraId="5FE7B61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1.67±2.18</w:t>
            </w:r>
          </w:p>
        </w:tc>
        <w:tc>
          <w:tcPr>
            <w:tcW w:w="627" w:type="pct"/>
            <w:tcBorders>
              <w:top w:val="nil"/>
              <w:left w:val="nil"/>
              <w:bottom w:val="nil"/>
              <w:right w:val="nil"/>
            </w:tcBorders>
            <w:shd w:val="clear" w:color="auto" w:fill="auto"/>
            <w:noWrap/>
            <w:tcMar>
              <w:left w:w="0" w:type="dxa"/>
              <w:right w:w="0" w:type="dxa"/>
            </w:tcMar>
            <w:vAlign w:val="bottom"/>
            <w:hideMark/>
          </w:tcPr>
          <w:p w14:paraId="574111C7"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0.44±0.67</w:t>
            </w:r>
          </w:p>
        </w:tc>
      </w:tr>
      <w:tr w:rsidR="0047502F" w:rsidRPr="0047502F" w14:paraId="2456B919" w14:textId="77777777" w:rsidTr="00AA6146">
        <w:trPr>
          <w:trHeight w:val="276"/>
        </w:trPr>
        <w:tc>
          <w:tcPr>
            <w:tcW w:w="547" w:type="pct"/>
            <w:vMerge/>
            <w:tcBorders>
              <w:left w:val="nil"/>
              <w:right w:val="nil"/>
            </w:tcBorders>
            <w:tcMar>
              <w:left w:w="0" w:type="dxa"/>
              <w:right w:w="0" w:type="dxa"/>
            </w:tcMar>
          </w:tcPr>
          <w:p w14:paraId="0C55C127"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50DFAF63"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Mg</w:t>
            </w:r>
            <w:r w:rsidRPr="0047502F">
              <w:rPr>
                <w:rFonts w:cs="Times New Roman"/>
                <w:kern w:val="0"/>
                <w:sz w:val="20"/>
                <w:szCs w:val="24"/>
                <w:vertAlign w:val="superscript"/>
                <w:lang w:val="en-GB" w:eastAsia="de-DE"/>
              </w:rPr>
              <w:t>2+</w:t>
            </w:r>
          </w:p>
        </w:tc>
        <w:tc>
          <w:tcPr>
            <w:tcW w:w="627" w:type="pct"/>
            <w:tcBorders>
              <w:top w:val="nil"/>
              <w:left w:val="nil"/>
              <w:bottom w:val="nil"/>
              <w:right w:val="nil"/>
            </w:tcBorders>
            <w:shd w:val="clear" w:color="auto" w:fill="auto"/>
            <w:noWrap/>
            <w:tcMar>
              <w:left w:w="0" w:type="dxa"/>
              <w:right w:w="0" w:type="dxa"/>
            </w:tcMar>
            <w:vAlign w:val="bottom"/>
            <w:hideMark/>
          </w:tcPr>
          <w:p w14:paraId="305847FA"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0.01</w:t>
            </w:r>
          </w:p>
        </w:tc>
        <w:tc>
          <w:tcPr>
            <w:tcW w:w="627" w:type="pct"/>
            <w:tcBorders>
              <w:top w:val="nil"/>
              <w:left w:val="nil"/>
              <w:bottom w:val="nil"/>
              <w:right w:val="nil"/>
            </w:tcBorders>
            <w:shd w:val="clear" w:color="auto" w:fill="auto"/>
            <w:noWrap/>
            <w:tcMar>
              <w:left w:w="0" w:type="dxa"/>
              <w:right w:w="0" w:type="dxa"/>
            </w:tcMar>
            <w:vAlign w:val="bottom"/>
            <w:hideMark/>
          </w:tcPr>
          <w:p w14:paraId="45CE0196"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0.01</w:t>
            </w:r>
          </w:p>
        </w:tc>
        <w:tc>
          <w:tcPr>
            <w:tcW w:w="627" w:type="pct"/>
            <w:tcBorders>
              <w:top w:val="nil"/>
              <w:left w:val="nil"/>
              <w:bottom w:val="nil"/>
              <w:right w:val="nil"/>
            </w:tcBorders>
            <w:shd w:val="clear" w:color="auto" w:fill="auto"/>
            <w:noWrap/>
            <w:tcMar>
              <w:left w:w="0" w:type="dxa"/>
              <w:right w:w="0" w:type="dxa"/>
            </w:tcMar>
            <w:vAlign w:val="bottom"/>
            <w:hideMark/>
          </w:tcPr>
          <w:p w14:paraId="0B1FA113"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0.02±0.01</w:t>
            </w:r>
          </w:p>
        </w:tc>
        <w:tc>
          <w:tcPr>
            <w:tcW w:w="627" w:type="pct"/>
            <w:tcBorders>
              <w:top w:val="nil"/>
              <w:left w:val="nil"/>
              <w:bottom w:val="nil"/>
              <w:right w:val="nil"/>
            </w:tcBorders>
            <w:shd w:val="clear" w:color="auto" w:fill="auto"/>
            <w:noWrap/>
            <w:tcMar>
              <w:left w:w="0" w:type="dxa"/>
              <w:right w:w="0" w:type="dxa"/>
            </w:tcMar>
            <w:vAlign w:val="bottom"/>
            <w:hideMark/>
          </w:tcPr>
          <w:p w14:paraId="5773179D"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0.05±0.04</w:t>
            </w:r>
          </w:p>
        </w:tc>
        <w:tc>
          <w:tcPr>
            <w:tcW w:w="627" w:type="pct"/>
            <w:tcBorders>
              <w:top w:val="nil"/>
              <w:left w:val="nil"/>
              <w:bottom w:val="nil"/>
              <w:right w:val="nil"/>
            </w:tcBorders>
            <w:shd w:val="clear" w:color="auto" w:fill="auto"/>
            <w:noWrap/>
            <w:tcMar>
              <w:left w:w="0" w:type="dxa"/>
              <w:right w:w="0" w:type="dxa"/>
            </w:tcMar>
            <w:vAlign w:val="bottom"/>
            <w:hideMark/>
          </w:tcPr>
          <w:p w14:paraId="755DC756"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0.18±0.21</w:t>
            </w:r>
          </w:p>
        </w:tc>
        <w:tc>
          <w:tcPr>
            <w:tcW w:w="627" w:type="pct"/>
            <w:tcBorders>
              <w:top w:val="nil"/>
              <w:left w:val="nil"/>
              <w:bottom w:val="nil"/>
              <w:right w:val="nil"/>
            </w:tcBorders>
            <w:shd w:val="clear" w:color="auto" w:fill="auto"/>
            <w:noWrap/>
            <w:tcMar>
              <w:left w:w="0" w:type="dxa"/>
              <w:right w:w="0" w:type="dxa"/>
            </w:tcMar>
            <w:vAlign w:val="bottom"/>
            <w:hideMark/>
          </w:tcPr>
          <w:p w14:paraId="29B51E43"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0.08±0.09</w:t>
            </w:r>
          </w:p>
        </w:tc>
      </w:tr>
      <w:tr w:rsidR="0047502F" w:rsidRPr="0047502F" w14:paraId="1BDAE127" w14:textId="77777777" w:rsidTr="00AA6146">
        <w:trPr>
          <w:trHeight w:val="276"/>
        </w:trPr>
        <w:tc>
          <w:tcPr>
            <w:tcW w:w="547" w:type="pct"/>
            <w:vMerge/>
            <w:tcBorders>
              <w:left w:val="nil"/>
              <w:right w:val="nil"/>
            </w:tcBorders>
            <w:tcMar>
              <w:left w:w="0" w:type="dxa"/>
              <w:right w:w="0" w:type="dxa"/>
            </w:tcMar>
          </w:tcPr>
          <w:p w14:paraId="2E07B5DF"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78D8F1EB"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Ca</w:t>
            </w:r>
            <w:r w:rsidRPr="0047502F">
              <w:rPr>
                <w:rFonts w:cs="Times New Roman"/>
                <w:kern w:val="0"/>
                <w:sz w:val="20"/>
                <w:szCs w:val="24"/>
                <w:vertAlign w:val="superscript"/>
                <w:lang w:val="en-GB" w:eastAsia="de-DE"/>
              </w:rPr>
              <w:t>2+</w:t>
            </w:r>
          </w:p>
        </w:tc>
        <w:tc>
          <w:tcPr>
            <w:tcW w:w="627" w:type="pct"/>
            <w:tcBorders>
              <w:top w:val="nil"/>
              <w:left w:val="nil"/>
              <w:bottom w:val="nil"/>
              <w:right w:val="nil"/>
            </w:tcBorders>
            <w:shd w:val="clear" w:color="auto" w:fill="auto"/>
            <w:noWrap/>
            <w:tcMar>
              <w:left w:w="0" w:type="dxa"/>
              <w:right w:w="0" w:type="dxa"/>
            </w:tcMar>
            <w:vAlign w:val="bottom"/>
            <w:hideMark/>
          </w:tcPr>
          <w:p w14:paraId="35C5B04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0.06±0.01</w:t>
            </w:r>
          </w:p>
        </w:tc>
        <w:tc>
          <w:tcPr>
            <w:tcW w:w="627" w:type="pct"/>
            <w:tcBorders>
              <w:top w:val="nil"/>
              <w:left w:val="nil"/>
              <w:bottom w:val="nil"/>
              <w:right w:val="nil"/>
            </w:tcBorders>
            <w:shd w:val="clear" w:color="auto" w:fill="auto"/>
            <w:noWrap/>
            <w:tcMar>
              <w:left w:w="0" w:type="dxa"/>
              <w:right w:w="0" w:type="dxa"/>
            </w:tcMar>
            <w:vAlign w:val="bottom"/>
            <w:hideMark/>
          </w:tcPr>
          <w:p w14:paraId="7C08101E"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0.11±0.03</w:t>
            </w:r>
          </w:p>
        </w:tc>
        <w:tc>
          <w:tcPr>
            <w:tcW w:w="627" w:type="pct"/>
            <w:tcBorders>
              <w:top w:val="nil"/>
              <w:left w:val="nil"/>
              <w:bottom w:val="nil"/>
              <w:right w:val="nil"/>
            </w:tcBorders>
            <w:shd w:val="clear" w:color="auto" w:fill="auto"/>
            <w:noWrap/>
            <w:tcMar>
              <w:left w:w="0" w:type="dxa"/>
              <w:right w:w="0" w:type="dxa"/>
            </w:tcMar>
            <w:vAlign w:val="bottom"/>
            <w:hideMark/>
          </w:tcPr>
          <w:p w14:paraId="5C5F52EC"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0.15±0.08</w:t>
            </w:r>
          </w:p>
        </w:tc>
        <w:tc>
          <w:tcPr>
            <w:tcW w:w="627" w:type="pct"/>
            <w:tcBorders>
              <w:top w:val="nil"/>
              <w:left w:val="nil"/>
              <w:bottom w:val="nil"/>
              <w:right w:val="nil"/>
            </w:tcBorders>
            <w:shd w:val="clear" w:color="auto" w:fill="auto"/>
            <w:noWrap/>
            <w:tcMar>
              <w:left w:w="0" w:type="dxa"/>
              <w:right w:w="0" w:type="dxa"/>
            </w:tcMar>
            <w:vAlign w:val="bottom"/>
            <w:hideMark/>
          </w:tcPr>
          <w:p w14:paraId="4FFD03AC"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0.4±0.25</w:t>
            </w:r>
          </w:p>
        </w:tc>
        <w:tc>
          <w:tcPr>
            <w:tcW w:w="627" w:type="pct"/>
            <w:tcBorders>
              <w:top w:val="nil"/>
              <w:left w:val="nil"/>
              <w:bottom w:val="nil"/>
              <w:right w:val="nil"/>
            </w:tcBorders>
            <w:shd w:val="clear" w:color="auto" w:fill="auto"/>
            <w:noWrap/>
            <w:tcMar>
              <w:left w:w="0" w:type="dxa"/>
              <w:right w:w="0" w:type="dxa"/>
            </w:tcMar>
            <w:vAlign w:val="bottom"/>
            <w:hideMark/>
          </w:tcPr>
          <w:p w14:paraId="3882B27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1.67±1.35</w:t>
            </w:r>
          </w:p>
        </w:tc>
        <w:tc>
          <w:tcPr>
            <w:tcW w:w="627" w:type="pct"/>
            <w:tcBorders>
              <w:top w:val="nil"/>
              <w:left w:val="nil"/>
              <w:bottom w:val="nil"/>
              <w:right w:val="nil"/>
            </w:tcBorders>
            <w:shd w:val="clear" w:color="auto" w:fill="auto"/>
            <w:noWrap/>
            <w:tcMar>
              <w:left w:w="0" w:type="dxa"/>
              <w:right w:w="0" w:type="dxa"/>
            </w:tcMar>
            <w:vAlign w:val="bottom"/>
            <w:hideMark/>
          </w:tcPr>
          <w:p w14:paraId="0904E53C"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0.93±0.9</w:t>
            </w:r>
          </w:p>
        </w:tc>
      </w:tr>
      <w:tr w:rsidR="0047502F" w:rsidRPr="0047502F" w14:paraId="27F965BA" w14:textId="77777777" w:rsidTr="00AA6146">
        <w:trPr>
          <w:trHeight w:val="276"/>
        </w:trPr>
        <w:tc>
          <w:tcPr>
            <w:tcW w:w="547" w:type="pct"/>
            <w:vMerge/>
            <w:tcBorders>
              <w:left w:val="nil"/>
              <w:right w:val="nil"/>
            </w:tcBorders>
            <w:tcMar>
              <w:left w:w="0" w:type="dxa"/>
              <w:right w:w="0" w:type="dxa"/>
            </w:tcMar>
          </w:tcPr>
          <w:p w14:paraId="36FC4B0B"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07D7AF7B"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K</w:t>
            </w:r>
            <w:r w:rsidRPr="0047502F">
              <w:rPr>
                <w:rFonts w:cs="Times New Roman"/>
                <w:kern w:val="0"/>
                <w:sz w:val="20"/>
                <w:szCs w:val="24"/>
                <w:vertAlign w:val="superscript"/>
                <w:lang w:val="en-GB" w:eastAsia="de-DE"/>
              </w:rPr>
              <w:t>+</w:t>
            </w:r>
          </w:p>
        </w:tc>
        <w:tc>
          <w:tcPr>
            <w:tcW w:w="627" w:type="pct"/>
            <w:tcBorders>
              <w:top w:val="nil"/>
              <w:left w:val="nil"/>
              <w:bottom w:val="nil"/>
              <w:right w:val="nil"/>
            </w:tcBorders>
            <w:shd w:val="clear" w:color="auto" w:fill="auto"/>
            <w:noWrap/>
            <w:tcMar>
              <w:left w:w="0" w:type="dxa"/>
              <w:right w:w="0" w:type="dxa"/>
            </w:tcMar>
            <w:vAlign w:val="bottom"/>
            <w:hideMark/>
          </w:tcPr>
          <w:p w14:paraId="7873A3EC"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0.08±0.04</w:t>
            </w:r>
          </w:p>
        </w:tc>
        <w:tc>
          <w:tcPr>
            <w:tcW w:w="627" w:type="pct"/>
            <w:tcBorders>
              <w:top w:val="nil"/>
              <w:left w:val="nil"/>
              <w:bottom w:val="nil"/>
              <w:right w:val="nil"/>
            </w:tcBorders>
            <w:shd w:val="clear" w:color="auto" w:fill="auto"/>
            <w:noWrap/>
            <w:tcMar>
              <w:left w:w="0" w:type="dxa"/>
              <w:right w:w="0" w:type="dxa"/>
            </w:tcMar>
            <w:vAlign w:val="bottom"/>
            <w:hideMark/>
          </w:tcPr>
          <w:p w14:paraId="07649551"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0.37±0.3</w:t>
            </w:r>
          </w:p>
        </w:tc>
        <w:tc>
          <w:tcPr>
            <w:tcW w:w="627" w:type="pct"/>
            <w:tcBorders>
              <w:top w:val="nil"/>
              <w:left w:val="nil"/>
              <w:bottom w:val="nil"/>
              <w:right w:val="nil"/>
            </w:tcBorders>
            <w:shd w:val="clear" w:color="auto" w:fill="auto"/>
            <w:noWrap/>
            <w:tcMar>
              <w:left w:w="0" w:type="dxa"/>
              <w:right w:w="0" w:type="dxa"/>
            </w:tcMar>
            <w:vAlign w:val="bottom"/>
            <w:hideMark/>
          </w:tcPr>
          <w:p w14:paraId="38C0EC37"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0.24±0.24</w:t>
            </w:r>
          </w:p>
        </w:tc>
        <w:tc>
          <w:tcPr>
            <w:tcW w:w="627" w:type="pct"/>
            <w:tcBorders>
              <w:top w:val="nil"/>
              <w:left w:val="nil"/>
              <w:bottom w:val="nil"/>
              <w:right w:val="nil"/>
            </w:tcBorders>
            <w:shd w:val="clear" w:color="auto" w:fill="auto"/>
            <w:noWrap/>
            <w:tcMar>
              <w:left w:w="0" w:type="dxa"/>
              <w:right w:w="0" w:type="dxa"/>
            </w:tcMar>
            <w:vAlign w:val="bottom"/>
            <w:hideMark/>
          </w:tcPr>
          <w:p w14:paraId="5C32BEC3"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0.25±0.25</w:t>
            </w:r>
          </w:p>
        </w:tc>
        <w:tc>
          <w:tcPr>
            <w:tcW w:w="627" w:type="pct"/>
            <w:tcBorders>
              <w:top w:val="nil"/>
              <w:left w:val="nil"/>
              <w:bottom w:val="nil"/>
              <w:right w:val="nil"/>
            </w:tcBorders>
            <w:shd w:val="clear" w:color="auto" w:fill="auto"/>
            <w:noWrap/>
            <w:tcMar>
              <w:left w:w="0" w:type="dxa"/>
              <w:right w:w="0" w:type="dxa"/>
            </w:tcMar>
            <w:vAlign w:val="bottom"/>
            <w:hideMark/>
          </w:tcPr>
          <w:p w14:paraId="21CD354E"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0.18±0.18</w:t>
            </w:r>
          </w:p>
        </w:tc>
        <w:tc>
          <w:tcPr>
            <w:tcW w:w="627" w:type="pct"/>
            <w:tcBorders>
              <w:top w:val="nil"/>
              <w:left w:val="nil"/>
              <w:bottom w:val="nil"/>
              <w:right w:val="nil"/>
            </w:tcBorders>
            <w:shd w:val="clear" w:color="auto" w:fill="auto"/>
            <w:noWrap/>
            <w:tcMar>
              <w:left w:w="0" w:type="dxa"/>
              <w:right w:w="0" w:type="dxa"/>
            </w:tcMar>
            <w:vAlign w:val="bottom"/>
            <w:hideMark/>
          </w:tcPr>
          <w:p w14:paraId="5882AB7B"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0.05±0.06</w:t>
            </w:r>
          </w:p>
        </w:tc>
      </w:tr>
      <w:tr w:rsidR="0047502F" w:rsidRPr="0047502F" w14:paraId="590445B2" w14:textId="77777777" w:rsidTr="00AA6146">
        <w:trPr>
          <w:trHeight w:val="276"/>
        </w:trPr>
        <w:tc>
          <w:tcPr>
            <w:tcW w:w="547" w:type="pct"/>
            <w:vMerge/>
            <w:tcBorders>
              <w:left w:val="nil"/>
              <w:right w:val="nil"/>
            </w:tcBorders>
            <w:tcMar>
              <w:left w:w="0" w:type="dxa"/>
              <w:right w:w="0" w:type="dxa"/>
            </w:tcMar>
          </w:tcPr>
          <w:p w14:paraId="25C05475"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5E74D5B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OC</w:t>
            </w:r>
          </w:p>
        </w:tc>
        <w:tc>
          <w:tcPr>
            <w:tcW w:w="627" w:type="pct"/>
            <w:tcBorders>
              <w:top w:val="nil"/>
              <w:left w:val="nil"/>
              <w:bottom w:val="nil"/>
              <w:right w:val="nil"/>
            </w:tcBorders>
            <w:shd w:val="clear" w:color="auto" w:fill="auto"/>
            <w:noWrap/>
            <w:tcMar>
              <w:left w:w="0" w:type="dxa"/>
              <w:right w:w="0" w:type="dxa"/>
            </w:tcMar>
            <w:vAlign w:val="bottom"/>
            <w:hideMark/>
          </w:tcPr>
          <w:p w14:paraId="43376C5A"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4.49±1.93</w:t>
            </w:r>
          </w:p>
        </w:tc>
        <w:tc>
          <w:tcPr>
            <w:tcW w:w="627" w:type="pct"/>
            <w:tcBorders>
              <w:top w:val="nil"/>
              <w:left w:val="nil"/>
              <w:bottom w:val="nil"/>
              <w:right w:val="nil"/>
            </w:tcBorders>
            <w:shd w:val="clear" w:color="auto" w:fill="auto"/>
            <w:noWrap/>
            <w:tcMar>
              <w:left w:w="0" w:type="dxa"/>
              <w:right w:w="0" w:type="dxa"/>
            </w:tcMar>
            <w:vAlign w:val="bottom"/>
            <w:hideMark/>
          </w:tcPr>
          <w:p w14:paraId="40448C3E"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11.04±7.2</w:t>
            </w:r>
          </w:p>
        </w:tc>
        <w:tc>
          <w:tcPr>
            <w:tcW w:w="627" w:type="pct"/>
            <w:tcBorders>
              <w:top w:val="nil"/>
              <w:left w:val="nil"/>
              <w:bottom w:val="nil"/>
              <w:right w:val="nil"/>
            </w:tcBorders>
            <w:shd w:val="clear" w:color="auto" w:fill="auto"/>
            <w:noWrap/>
            <w:tcMar>
              <w:left w:w="0" w:type="dxa"/>
              <w:right w:w="0" w:type="dxa"/>
            </w:tcMar>
            <w:vAlign w:val="bottom"/>
            <w:hideMark/>
          </w:tcPr>
          <w:p w14:paraId="20C4EE4F"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5.67±4.49</w:t>
            </w:r>
          </w:p>
        </w:tc>
        <w:tc>
          <w:tcPr>
            <w:tcW w:w="627" w:type="pct"/>
            <w:tcBorders>
              <w:top w:val="nil"/>
              <w:left w:val="nil"/>
              <w:bottom w:val="nil"/>
              <w:right w:val="nil"/>
            </w:tcBorders>
            <w:shd w:val="clear" w:color="auto" w:fill="auto"/>
            <w:noWrap/>
            <w:tcMar>
              <w:left w:w="0" w:type="dxa"/>
              <w:right w:w="0" w:type="dxa"/>
            </w:tcMar>
            <w:vAlign w:val="bottom"/>
            <w:hideMark/>
          </w:tcPr>
          <w:p w14:paraId="3DF700A0"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5.45±6.26</w:t>
            </w:r>
          </w:p>
        </w:tc>
        <w:tc>
          <w:tcPr>
            <w:tcW w:w="627" w:type="pct"/>
            <w:tcBorders>
              <w:top w:val="nil"/>
              <w:left w:val="nil"/>
              <w:bottom w:val="nil"/>
              <w:right w:val="nil"/>
            </w:tcBorders>
            <w:shd w:val="clear" w:color="auto" w:fill="auto"/>
            <w:noWrap/>
            <w:tcMar>
              <w:left w:w="0" w:type="dxa"/>
              <w:right w:w="0" w:type="dxa"/>
            </w:tcMar>
            <w:vAlign w:val="bottom"/>
            <w:hideMark/>
          </w:tcPr>
          <w:p w14:paraId="47DFCF3E"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5.07±3.88</w:t>
            </w:r>
          </w:p>
        </w:tc>
        <w:tc>
          <w:tcPr>
            <w:tcW w:w="627" w:type="pct"/>
            <w:tcBorders>
              <w:top w:val="nil"/>
              <w:left w:val="nil"/>
              <w:bottom w:val="nil"/>
              <w:right w:val="nil"/>
            </w:tcBorders>
            <w:shd w:val="clear" w:color="auto" w:fill="auto"/>
            <w:noWrap/>
            <w:tcMar>
              <w:left w:w="0" w:type="dxa"/>
              <w:right w:w="0" w:type="dxa"/>
            </w:tcMar>
            <w:vAlign w:val="bottom"/>
            <w:hideMark/>
          </w:tcPr>
          <w:p w14:paraId="701E648C"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3.4±5.17</w:t>
            </w:r>
          </w:p>
        </w:tc>
      </w:tr>
      <w:tr w:rsidR="0047502F" w:rsidRPr="0047502F" w14:paraId="00CE3771" w14:textId="77777777" w:rsidTr="00AA6146">
        <w:trPr>
          <w:trHeight w:val="276"/>
        </w:trPr>
        <w:tc>
          <w:tcPr>
            <w:tcW w:w="547" w:type="pct"/>
            <w:vMerge/>
            <w:tcBorders>
              <w:left w:val="nil"/>
              <w:right w:val="nil"/>
            </w:tcBorders>
            <w:tcMar>
              <w:left w:w="0" w:type="dxa"/>
              <w:right w:w="0" w:type="dxa"/>
            </w:tcMar>
          </w:tcPr>
          <w:p w14:paraId="13F29ACE"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5D297BD8"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EC</w:t>
            </w:r>
          </w:p>
        </w:tc>
        <w:tc>
          <w:tcPr>
            <w:tcW w:w="627" w:type="pct"/>
            <w:tcBorders>
              <w:top w:val="nil"/>
              <w:left w:val="nil"/>
              <w:bottom w:val="nil"/>
              <w:right w:val="nil"/>
            </w:tcBorders>
            <w:shd w:val="clear" w:color="auto" w:fill="auto"/>
            <w:noWrap/>
            <w:tcMar>
              <w:left w:w="0" w:type="dxa"/>
              <w:right w:w="0" w:type="dxa"/>
            </w:tcMar>
            <w:vAlign w:val="bottom"/>
            <w:hideMark/>
          </w:tcPr>
          <w:p w14:paraId="1B80F15A"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0.38±0.18</w:t>
            </w:r>
          </w:p>
        </w:tc>
        <w:tc>
          <w:tcPr>
            <w:tcW w:w="627" w:type="pct"/>
            <w:tcBorders>
              <w:top w:val="nil"/>
              <w:left w:val="nil"/>
              <w:bottom w:val="nil"/>
              <w:right w:val="nil"/>
            </w:tcBorders>
            <w:shd w:val="clear" w:color="auto" w:fill="auto"/>
            <w:noWrap/>
            <w:tcMar>
              <w:left w:w="0" w:type="dxa"/>
              <w:right w:w="0" w:type="dxa"/>
            </w:tcMar>
            <w:vAlign w:val="bottom"/>
            <w:hideMark/>
          </w:tcPr>
          <w:p w14:paraId="3CB7C20B"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0.93±0.47</w:t>
            </w:r>
          </w:p>
        </w:tc>
        <w:tc>
          <w:tcPr>
            <w:tcW w:w="627" w:type="pct"/>
            <w:tcBorders>
              <w:top w:val="nil"/>
              <w:left w:val="nil"/>
              <w:bottom w:val="nil"/>
              <w:right w:val="nil"/>
            </w:tcBorders>
            <w:shd w:val="clear" w:color="auto" w:fill="auto"/>
            <w:noWrap/>
            <w:tcMar>
              <w:left w:w="0" w:type="dxa"/>
              <w:right w:w="0" w:type="dxa"/>
            </w:tcMar>
            <w:vAlign w:val="bottom"/>
            <w:hideMark/>
          </w:tcPr>
          <w:p w14:paraId="709BEA3F"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0.67±0.43</w:t>
            </w:r>
          </w:p>
        </w:tc>
        <w:tc>
          <w:tcPr>
            <w:tcW w:w="627" w:type="pct"/>
            <w:tcBorders>
              <w:top w:val="nil"/>
              <w:left w:val="nil"/>
              <w:bottom w:val="nil"/>
              <w:right w:val="nil"/>
            </w:tcBorders>
            <w:shd w:val="clear" w:color="auto" w:fill="auto"/>
            <w:noWrap/>
            <w:tcMar>
              <w:left w:w="0" w:type="dxa"/>
              <w:right w:w="0" w:type="dxa"/>
            </w:tcMar>
            <w:vAlign w:val="bottom"/>
            <w:hideMark/>
          </w:tcPr>
          <w:p w14:paraId="28767351"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0.72±0.69</w:t>
            </w:r>
          </w:p>
        </w:tc>
        <w:tc>
          <w:tcPr>
            <w:tcW w:w="627" w:type="pct"/>
            <w:tcBorders>
              <w:top w:val="nil"/>
              <w:left w:val="nil"/>
              <w:bottom w:val="nil"/>
              <w:right w:val="nil"/>
            </w:tcBorders>
            <w:shd w:val="clear" w:color="auto" w:fill="auto"/>
            <w:noWrap/>
            <w:tcMar>
              <w:left w:w="0" w:type="dxa"/>
              <w:right w:w="0" w:type="dxa"/>
            </w:tcMar>
            <w:vAlign w:val="bottom"/>
            <w:hideMark/>
          </w:tcPr>
          <w:p w14:paraId="6332AACA"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0.62±0.78</w:t>
            </w:r>
          </w:p>
        </w:tc>
        <w:tc>
          <w:tcPr>
            <w:tcW w:w="627" w:type="pct"/>
            <w:tcBorders>
              <w:top w:val="nil"/>
              <w:left w:val="nil"/>
              <w:bottom w:val="nil"/>
              <w:right w:val="nil"/>
            </w:tcBorders>
            <w:shd w:val="clear" w:color="auto" w:fill="auto"/>
            <w:noWrap/>
            <w:tcMar>
              <w:left w:w="0" w:type="dxa"/>
              <w:right w:w="0" w:type="dxa"/>
            </w:tcMar>
            <w:vAlign w:val="bottom"/>
            <w:hideMark/>
          </w:tcPr>
          <w:p w14:paraId="29CEE259"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1.65±4.37</w:t>
            </w:r>
          </w:p>
        </w:tc>
      </w:tr>
      <w:tr w:rsidR="0047502F" w:rsidRPr="0047502F" w14:paraId="52E7A8CD" w14:textId="77777777" w:rsidTr="00AA6146">
        <w:trPr>
          <w:trHeight w:val="276"/>
        </w:trPr>
        <w:tc>
          <w:tcPr>
            <w:tcW w:w="547" w:type="pct"/>
            <w:vMerge/>
            <w:tcBorders>
              <w:left w:val="nil"/>
              <w:right w:val="nil"/>
            </w:tcBorders>
            <w:tcMar>
              <w:left w:w="0" w:type="dxa"/>
              <w:right w:w="0" w:type="dxa"/>
            </w:tcMar>
          </w:tcPr>
          <w:p w14:paraId="0231ABFE"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tcPr>
          <w:p w14:paraId="469FDCC2"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WSOC</w:t>
            </w:r>
          </w:p>
        </w:tc>
        <w:tc>
          <w:tcPr>
            <w:tcW w:w="627" w:type="pct"/>
            <w:tcBorders>
              <w:top w:val="nil"/>
              <w:left w:val="nil"/>
              <w:bottom w:val="nil"/>
              <w:right w:val="nil"/>
            </w:tcBorders>
            <w:shd w:val="clear" w:color="auto" w:fill="auto"/>
            <w:noWrap/>
            <w:tcMar>
              <w:left w:w="0" w:type="dxa"/>
              <w:right w:w="0" w:type="dxa"/>
            </w:tcMar>
            <w:vAlign w:val="bottom"/>
          </w:tcPr>
          <w:p w14:paraId="7DE4C743"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1.66±0.7</w:t>
            </w:r>
          </w:p>
        </w:tc>
        <w:tc>
          <w:tcPr>
            <w:tcW w:w="627" w:type="pct"/>
            <w:tcBorders>
              <w:top w:val="nil"/>
              <w:left w:val="nil"/>
              <w:bottom w:val="nil"/>
              <w:right w:val="nil"/>
            </w:tcBorders>
            <w:shd w:val="clear" w:color="auto" w:fill="auto"/>
            <w:noWrap/>
            <w:tcMar>
              <w:left w:w="0" w:type="dxa"/>
              <w:right w:w="0" w:type="dxa"/>
            </w:tcMar>
            <w:vAlign w:val="bottom"/>
          </w:tcPr>
          <w:p w14:paraId="4CBD638E"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4.73±2.96</w:t>
            </w:r>
          </w:p>
        </w:tc>
        <w:tc>
          <w:tcPr>
            <w:tcW w:w="627" w:type="pct"/>
            <w:tcBorders>
              <w:top w:val="nil"/>
              <w:left w:val="nil"/>
              <w:bottom w:val="nil"/>
              <w:right w:val="nil"/>
            </w:tcBorders>
            <w:shd w:val="clear" w:color="auto" w:fill="auto"/>
            <w:noWrap/>
            <w:tcMar>
              <w:left w:w="0" w:type="dxa"/>
              <w:right w:w="0" w:type="dxa"/>
            </w:tcMar>
            <w:vAlign w:val="bottom"/>
          </w:tcPr>
          <w:p w14:paraId="18A10F23"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2.96±2.41</w:t>
            </w:r>
          </w:p>
        </w:tc>
        <w:tc>
          <w:tcPr>
            <w:tcW w:w="627" w:type="pct"/>
            <w:tcBorders>
              <w:top w:val="nil"/>
              <w:left w:val="nil"/>
              <w:bottom w:val="nil"/>
              <w:right w:val="nil"/>
            </w:tcBorders>
            <w:shd w:val="clear" w:color="auto" w:fill="auto"/>
            <w:noWrap/>
            <w:tcMar>
              <w:left w:w="0" w:type="dxa"/>
              <w:right w:w="0" w:type="dxa"/>
            </w:tcMar>
            <w:vAlign w:val="bottom"/>
          </w:tcPr>
          <w:p w14:paraId="75CE6F4E"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3.21±4.33</w:t>
            </w:r>
          </w:p>
        </w:tc>
        <w:tc>
          <w:tcPr>
            <w:tcW w:w="627" w:type="pct"/>
            <w:tcBorders>
              <w:top w:val="nil"/>
              <w:left w:val="nil"/>
              <w:bottom w:val="nil"/>
              <w:right w:val="nil"/>
            </w:tcBorders>
            <w:shd w:val="clear" w:color="auto" w:fill="auto"/>
            <w:noWrap/>
            <w:tcMar>
              <w:left w:w="0" w:type="dxa"/>
              <w:right w:w="0" w:type="dxa"/>
            </w:tcMar>
            <w:vAlign w:val="bottom"/>
          </w:tcPr>
          <w:p w14:paraId="0B90E90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2.31±2.55</w:t>
            </w:r>
          </w:p>
        </w:tc>
        <w:tc>
          <w:tcPr>
            <w:tcW w:w="627" w:type="pct"/>
            <w:tcBorders>
              <w:top w:val="nil"/>
              <w:left w:val="nil"/>
              <w:bottom w:val="nil"/>
              <w:right w:val="nil"/>
            </w:tcBorders>
            <w:shd w:val="clear" w:color="auto" w:fill="auto"/>
            <w:noWrap/>
            <w:tcMar>
              <w:left w:w="0" w:type="dxa"/>
              <w:right w:w="0" w:type="dxa"/>
            </w:tcMar>
            <w:vAlign w:val="bottom"/>
          </w:tcPr>
          <w:p w14:paraId="514804A9"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0.64±0.5</w:t>
            </w:r>
          </w:p>
        </w:tc>
      </w:tr>
      <w:tr w:rsidR="0047502F" w:rsidRPr="0047502F" w14:paraId="0D3F5AFE" w14:textId="77777777" w:rsidTr="00AA6146">
        <w:trPr>
          <w:trHeight w:val="276"/>
        </w:trPr>
        <w:tc>
          <w:tcPr>
            <w:tcW w:w="547" w:type="pct"/>
            <w:vMerge/>
            <w:tcBorders>
              <w:left w:val="nil"/>
              <w:bottom w:val="nil"/>
              <w:right w:val="nil"/>
            </w:tcBorders>
            <w:tcMar>
              <w:left w:w="0" w:type="dxa"/>
              <w:right w:w="0" w:type="dxa"/>
            </w:tcMar>
          </w:tcPr>
          <w:p w14:paraId="1C439F69"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tcPr>
          <w:p w14:paraId="694737F0"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WSOC/OC</w:t>
            </w:r>
          </w:p>
        </w:tc>
        <w:tc>
          <w:tcPr>
            <w:tcW w:w="627" w:type="pct"/>
            <w:tcBorders>
              <w:top w:val="nil"/>
              <w:left w:val="nil"/>
              <w:bottom w:val="nil"/>
              <w:right w:val="nil"/>
            </w:tcBorders>
            <w:shd w:val="clear" w:color="auto" w:fill="auto"/>
            <w:noWrap/>
            <w:tcMar>
              <w:left w:w="0" w:type="dxa"/>
              <w:right w:w="0" w:type="dxa"/>
            </w:tcMar>
          </w:tcPr>
          <w:p w14:paraId="6C39E640"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0.38±0.07</w:t>
            </w:r>
          </w:p>
        </w:tc>
        <w:tc>
          <w:tcPr>
            <w:tcW w:w="627" w:type="pct"/>
            <w:tcBorders>
              <w:top w:val="nil"/>
              <w:left w:val="nil"/>
              <w:bottom w:val="nil"/>
              <w:right w:val="nil"/>
            </w:tcBorders>
            <w:shd w:val="clear" w:color="auto" w:fill="auto"/>
            <w:noWrap/>
            <w:tcMar>
              <w:left w:w="0" w:type="dxa"/>
              <w:right w:w="0" w:type="dxa"/>
            </w:tcMar>
          </w:tcPr>
          <w:p w14:paraId="04430CF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0.43±0.07</w:t>
            </w:r>
          </w:p>
        </w:tc>
        <w:tc>
          <w:tcPr>
            <w:tcW w:w="627" w:type="pct"/>
            <w:tcBorders>
              <w:top w:val="nil"/>
              <w:left w:val="nil"/>
              <w:bottom w:val="nil"/>
              <w:right w:val="nil"/>
            </w:tcBorders>
            <w:shd w:val="clear" w:color="auto" w:fill="auto"/>
            <w:noWrap/>
            <w:tcMar>
              <w:left w:w="0" w:type="dxa"/>
              <w:right w:w="0" w:type="dxa"/>
            </w:tcMar>
          </w:tcPr>
          <w:p w14:paraId="1B54AF1B"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0.56±0.27</w:t>
            </w:r>
          </w:p>
        </w:tc>
        <w:tc>
          <w:tcPr>
            <w:tcW w:w="627" w:type="pct"/>
            <w:tcBorders>
              <w:top w:val="nil"/>
              <w:left w:val="nil"/>
              <w:bottom w:val="nil"/>
              <w:right w:val="nil"/>
            </w:tcBorders>
            <w:shd w:val="clear" w:color="auto" w:fill="auto"/>
            <w:noWrap/>
            <w:tcMar>
              <w:left w:w="0" w:type="dxa"/>
              <w:right w:w="0" w:type="dxa"/>
            </w:tcMar>
          </w:tcPr>
          <w:p w14:paraId="1ACE56B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0.51±0.15</w:t>
            </w:r>
          </w:p>
        </w:tc>
        <w:tc>
          <w:tcPr>
            <w:tcW w:w="627" w:type="pct"/>
            <w:tcBorders>
              <w:top w:val="nil"/>
              <w:left w:val="nil"/>
              <w:bottom w:val="nil"/>
              <w:right w:val="nil"/>
            </w:tcBorders>
            <w:shd w:val="clear" w:color="auto" w:fill="auto"/>
            <w:noWrap/>
            <w:tcMar>
              <w:left w:w="0" w:type="dxa"/>
              <w:right w:w="0" w:type="dxa"/>
            </w:tcMar>
          </w:tcPr>
          <w:p w14:paraId="78E1248F"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0.37±0.14</w:t>
            </w:r>
          </w:p>
        </w:tc>
        <w:tc>
          <w:tcPr>
            <w:tcW w:w="627" w:type="pct"/>
            <w:tcBorders>
              <w:top w:val="nil"/>
              <w:left w:val="nil"/>
              <w:bottom w:val="nil"/>
              <w:right w:val="nil"/>
            </w:tcBorders>
            <w:shd w:val="clear" w:color="auto" w:fill="auto"/>
            <w:noWrap/>
            <w:tcMar>
              <w:left w:w="0" w:type="dxa"/>
              <w:right w:w="0" w:type="dxa"/>
            </w:tcMar>
          </w:tcPr>
          <w:p w14:paraId="704474BD"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0.24±0.25</w:t>
            </w:r>
          </w:p>
        </w:tc>
      </w:tr>
      <w:tr w:rsidR="0047502F" w:rsidRPr="0047502F" w14:paraId="24722F50" w14:textId="77777777" w:rsidTr="00AA6146">
        <w:trPr>
          <w:trHeight w:val="276"/>
        </w:trPr>
        <w:tc>
          <w:tcPr>
            <w:tcW w:w="547" w:type="pct"/>
            <w:vMerge w:val="restart"/>
            <w:tcBorders>
              <w:top w:val="single" w:sz="4" w:space="0" w:color="auto"/>
              <w:left w:val="nil"/>
              <w:right w:val="nil"/>
            </w:tcBorders>
            <w:tcMar>
              <w:left w:w="0" w:type="dxa"/>
              <w:right w:w="0" w:type="dxa"/>
            </w:tcMar>
            <w:vAlign w:val="center"/>
          </w:tcPr>
          <w:p w14:paraId="52927E2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Summer</w:t>
            </w:r>
          </w:p>
        </w:tc>
        <w:tc>
          <w:tcPr>
            <w:tcW w:w="689" w:type="pct"/>
            <w:tcBorders>
              <w:top w:val="single" w:sz="4" w:space="0" w:color="auto"/>
              <w:left w:val="nil"/>
              <w:bottom w:val="nil"/>
              <w:right w:val="nil"/>
            </w:tcBorders>
            <w:shd w:val="clear" w:color="auto" w:fill="auto"/>
            <w:noWrap/>
            <w:tcMar>
              <w:left w:w="0" w:type="dxa"/>
              <w:right w:w="0" w:type="dxa"/>
            </w:tcMar>
            <w:vAlign w:val="bottom"/>
            <w:hideMark/>
          </w:tcPr>
          <w:p w14:paraId="58FE09F0"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Cl</w:t>
            </w:r>
            <w:r w:rsidRPr="0047502F">
              <w:rPr>
                <w:rFonts w:cs="Times New Roman"/>
                <w:kern w:val="0"/>
                <w:sz w:val="20"/>
                <w:szCs w:val="24"/>
                <w:vertAlign w:val="superscript"/>
                <w:lang w:val="en-GB" w:eastAsia="de-DE"/>
              </w:rPr>
              <w:t>-</w:t>
            </w:r>
          </w:p>
        </w:tc>
        <w:tc>
          <w:tcPr>
            <w:tcW w:w="627" w:type="pct"/>
            <w:tcBorders>
              <w:top w:val="single" w:sz="4" w:space="0" w:color="auto"/>
              <w:left w:val="nil"/>
              <w:bottom w:val="nil"/>
              <w:right w:val="nil"/>
            </w:tcBorders>
            <w:shd w:val="clear" w:color="auto" w:fill="auto"/>
            <w:noWrap/>
            <w:tcMar>
              <w:left w:w="0" w:type="dxa"/>
              <w:right w:w="0" w:type="dxa"/>
            </w:tcMar>
            <w:vAlign w:val="bottom"/>
            <w:hideMark/>
          </w:tcPr>
          <w:p w14:paraId="24D01461"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0.05±0.02</w:t>
            </w:r>
          </w:p>
        </w:tc>
        <w:tc>
          <w:tcPr>
            <w:tcW w:w="627" w:type="pct"/>
            <w:tcBorders>
              <w:top w:val="single" w:sz="4" w:space="0" w:color="auto"/>
              <w:left w:val="nil"/>
              <w:bottom w:val="nil"/>
              <w:right w:val="nil"/>
            </w:tcBorders>
            <w:shd w:val="clear" w:color="auto" w:fill="auto"/>
            <w:noWrap/>
            <w:tcMar>
              <w:left w:w="0" w:type="dxa"/>
              <w:right w:w="0" w:type="dxa"/>
            </w:tcMar>
            <w:vAlign w:val="bottom"/>
            <w:hideMark/>
          </w:tcPr>
          <w:p w14:paraId="5DAA9F0F"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0.1±0.04</w:t>
            </w:r>
          </w:p>
        </w:tc>
        <w:tc>
          <w:tcPr>
            <w:tcW w:w="627" w:type="pct"/>
            <w:tcBorders>
              <w:top w:val="single" w:sz="4" w:space="0" w:color="auto"/>
              <w:left w:val="nil"/>
              <w:bottom w:val="nil"/>
              <w:right w:val="nil"/>
            </w:tcBorders>
            <w:shd w:val="clear" w:color="auto" w:fill="auto"/>
            <w:noWrap/>
            <w:tcMar>
              <w:left w:w="0" w:type="dxa"/>
              <w:right w:w="0" w:type="dxa"/>
            </w:tcMar>
            <w:vAlign w:val="bottom"/>
            <w:hideMark/>
          </w:tcPr>
          <w:p w14:paraId="75A4E9C6"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0.07±0.03</w:t>
            </w:r>
          </w:p>
        </w:tc>
        <w:tc>
          <w:tcPr>
            <w:tcW w:w="627" w:type="pct"/>
            <w:tcBorders>
              <w:top w:val="single" w:sz="4" w:space="0" w:color="auto"/>
              <w:left w:val="nil"/>
              <w:bottom w:val="nil"/>
              <w:right w:val="nil"/>
            </w:tcBorders>
            <w:shd w:val="clear" w:color="auto" w:fill="auto"/>
            <w:noWrap/>
            <w:tcMar>
              <w:left w:w="0" w:type="dxa"/>
              <w:right w:w="0" w:type="dxa"/>
            </w:tcMar>
            <w:vAlign w:val="bottom"/>
            <w:hideMark/>
          </w:tcPr>
          <w:p w14:paraId="52A93D46"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0.07±0.02</w:t>
            </w:r>
          </w:p>
        </w:tc>
        <w:tc>
          <w:tcPr>
            <w:tcW w:w="627" w:type="pct"/>
            <w:tcBorders>
              <w:top w:val="single" w:sz="4" w:space="0" w:color="auto"/>
              <w:left w:val="nil"/>
              <w:bottom w:val="nil"/>
              <w:right w:val="nil"/>
            </w:tcBorders>
            <w:shd w:val="clear" w:color="auto" w:fill="auto"/>
            <w:noWrap/>
            <w:tcMar>
              <w:left w:w="0" w:type="dxa"/>
              <w:right w:w="0" w:type="dxa"/>
            </w:tcMar>
            <w:vAlign w:val="bottom"/>
            <w:hideMark/>
          </w:tcPr>
          <w:p w14:paraId="41A09972"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0.16±0.1</w:t>
            </w:r>
          </w:p>
        </w:tc>
        <w:tc>
          <w:tcPr>
            <w:tcW w:w="627" w:type="pct"/>
            <w:tcBorders>
              <w:top w:val="single" w:sz="4" w:space="0" w:color="auto"/>
              <w:left w:val="nil"/>
              <w:bottom w:val="nil"/>
              <w:right w:val="nil"/>
            </w:tcBorders>
            <w:shd w:val="clear" w:color="auto" w:fill="auto"/>
            <w:noWrap/>
            <w:tcMar>
              <w:left w:w="0" w:type="dxa"/>
              <w:right w:w="0" w:type="dxa"/>
            </w:tcMar>
            <w:vAlign w:val="bottom"/>
            <w:hideMark/>
          </w:tcPr>
          <w:p w14:paraId="492B7D49"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0.11±0.06</w:t>
            </w:r>
          </w:p>
        </w:tc>
      </w:tr>
      <w:tr w:rsidR="0047502F" w:rsidRPr="0047502F" w14:paraId="5C3D50D1" w14:textId="77777777" w:rsidTr="00AA6146">
        <w:trPr>
          <w:trHeight w:val="276"/>
        </w:trPr>
        <w:tc>
          <w:tcPr>
            <w:tcW w:w="547" w:type="pct"/>
            <w:vMerge/>
            <w:tcBorders>
              <w:left w:val="nil"/>
              <w:right w:val="nil"/>
            </w:tcBorders>
            <w:tcMar>
              <w:left w:w="0" w:type="dxa"/>
              <w:right w:w="0" w:type="dxa"/>
            </w:tcMar>
          </w:tcPr>
          <w:p w14:paraId="4B8DE914"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1E33760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NO</w:t>
            </w:r>
            <w:r w:rsidRPr="0047502F">
              <w:rPr>
                <w:rFonts w:cs="Times New Roman"/>
                <w:kern w:val="0"/>
                <w:sz w:val="20"/>
                <w:szCs w:val="24"/>
                <w:vertAlign w:val="subscript"/>
                <w:lang w:val="en-GB" w:eastAsia="de-DE"/>
              </w:rPr>
              <w:t>3</w:t>
            </w:r>
            <w:r w:rsidRPr="0047502F">
              <w:rPr>
                <w:rFonts w:cs="Times New Roman"/>
                <w:kern w:val="0"/>
                <w:sz w:val="20"/>
                <w:szCs w:val="24"/>
                <w:vertAlign w:val="superscript"/>
                <w:lang w:val="en-GB" w:eastAsia="de-DE"/>
              </w:rPr>
              <w:t>-</w:t>
            </w:r>
          </w:p>
        </w:tc>
        <w:tc>
          <w:tcPr>
            <w:tcW w:w="627" w:type="pct"/>
            <w:tcBorders>
              <w:top w:val="nil"/>
              <w:left w:val="nil"/>
              <w:bottom w:val="nil"/>
              <w:right w:val="nil"/>
            </w:tcBorders>
            <w:shd w:val="clear" w:color="auto" w:fill="auto"/>
            <w:noWrap/>
            <w:tcMar>
              <w:left w:w="0" w:type="dxa"/>
              <w:right w:w="0" w:type="dxa"/>
            </w:tcMar>
            <w:vAlign w:val="bottom"/>
            <w:hideMark/>
          </w:tcPr>
          <w:p w14:paraId="37433173"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0.48±0.44</w:t>
            </w:r>
          </w:p>
        </w:tc>
        <w:tc>
          <w:tcPr>
            <w:tcW w:w="627" w:type="pct"/>
            <w:tcBorders>
              <w:top w:val="nil"/>
              <w:left w:val="nil"/>
              <w:bottom w:val="nil"/>
              <w:right w:val="nil"/>
            </w:tcBorders>
            <w:shd w:val="clear" w:color="auto" w:fill="auto"/>
            <w:noWrap/>
            <w:tcMar>
              <w:left w:w="0" w:type="dxa"/>
              <w:right w:w="0" w:type="dxa"/>
            </w:tcMar>
            <w:vAlign w:val="bottom"/>
            <w:hideMark/>
          </w:tcPr>
          <w:p w14:paraId="27CCD2E2"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3.5±3.32</w:t>
            </w:r>
          </w:p>
        </w:tc>
        <w:tc>
          <w:tcPr>
            <w:tcW w:w="627" w:type="pct"/>
            <w:tcBorders>
              <w:top w:val="nil"/>
              <w:left w:val="nil"/>
              <w:bottom w:val="nil"/>
              <w:right w:val="nil"/>
            </w:tcBorders>
            <w:shd w:val="clear" w:color="auto" w:fill="auto"/>
            <w:noWrap/>
            <w:tcMar>
              <w:left w:w="0" w:type="dxa"/>
              <w:right w:w="0" w:type="dxa"/>
            </w:tcMar>
            <w:vAlign w:val="bottom"/>
            <w:hideMark/>
          </w:tcPr>
          <w:p w14:paraId="77C2F43A"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1.37±1.35</w:t>
            </w:r>
          </w:p>
        </w:tc>
        <w:tc>
          <w:tcPr>
            <w:tcW w:w="627" w:type="pct"/>
            <w:tcBorders>
              <w:top w:val="nil"/>
              <w:left w:val="nil"/>
              <w:bottom w:val="nil"/>
              <w:right w:val="nil"/>
            </w:tcBorders>
            <w:shd w:val="clear" w:color="auto" w:fill="auto"/>
            <w:noWrap/>
            <w:tcMar>
              <w:left w:w="0" w:type="dxa"/>
              <w:right w:w="0" w:type="dxa"/>
            </w:tcMar>
            <w:vAlign w:val="bottom"/>
            <w:hideMark/>
          </w:tcPr>
          <w:p w14:paraId="0D2043E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1.04±0.86</w:t>
            </w:r>
          </w:p>
        </w:tc>
        <w:tc>
          <w:tcPr>
            <w:tcW w:w="627" w:type="pct"/>
            <w:tcBorders>
              <w:top w:val="nil"/>
              <w:left w:val="nil"/>
              <w:bottom w:val="nil"/>
              <w:right w:val="nil"/>
            </w:tcBorders>
            <w:shd w:val="clear" w:color="auto" w:fill="auto"/>
            <w:noWrap/>
            <w:tcMar>
              <w:left w:w="0" w:type="dxa"/>
              <w:right w:w="0" w:type="dxa"/>
            </w:tcMar>
            <w:vAlign w:val="bottom"/>
            <w:hideMark/>
          </w:tcPr>
          <w:p w14:paraId="29D94E2F"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4.76±4.22</w:t>
            </w:r>
          </w:p>
        </w:tc>
        <w:tc>
          <w:tcPr>
            <w:tcW w:w="627" w:type="pct"/>
            <w:tcBorders>
              <w:top w:val="nil"/>
              <w:left w:val="nil"/>
              <w:bottom w:val="nil"/>
              <w:right w:val="nil"/>
            </w:tcBorders>
            <w:shd w:val="clear" w:color="auto" w:fill="auto"/>
            <w:noWrap/>
            <w:tcMar>
              <w:left w:w="0" w:type="dxa"/>
              <w:right w:w="0" w:type="dxa"/>
            </w:tcMar>
            <w:vAlign w:val="bottom"/>
            <w:hideMark/>
          </w:tcPr>
          <w:p w14:paraId="10991813"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1.49±1.37</w:t>
            </w:r>
          </w:p>
        </w:tc>
      </w:tr>
      <w:tr w:rsidR="0047502F" w:rsidRPr="0047502F" w14:paraId="2B13E6F5" w14:textId="77777777" w:rsidTr="00AA6146">
        <w:trPr>
          <w:trHeight w:val="276"/>
        </w:trPr>
        <w:tc>
          <w:tcPr>
            <w:tcW w:w="547" w:type="pct"/>
            <w:vMerge/>
            <w:tcBorders>
              <w:left w:val="nil"/>
              <w:right w:val="nil"/>
            </w:tcBorders>
            <w:tcMar>
              <w:left w:w="0" w:type="dxa"/>
              <w:right w:w="0" w:type="dxa"/>
            </w:tcMar>
          </w:tcPr>
          <w:p w14:paraId="37523971"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687283E2"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SO</w:t>
            </w:r>
            <w:r w:rsidRPr="0047502F">
              <w:rPr>
                <w:rFonts w:cs="Times New Roman"/>
                <w:kern w:val="0"/>
                <w:sz w:val="20"/>
                <w:szCs w:val="24"/>
                <w:vertAlign w:val="subscript"/>
                <w:lang w:val="en-GB" w:eastAsia="de-DE"/>
              </w:rPr>
              <w:t>4</w:t>
            </w:r>
            <w:r w:rsidRPr="0047502F">
              <w:rPr>
                <w:rFonts w:cs="Times New Roman"/>
                <w:kern w:val="0"/>
                <w:sz w:val="20"/>
                <w:szCs w:val="24"/>
                <w:vertAlign w:val="superscript"/>
                <w:lang w:val="en-GB" w:eastAsia="de-DE"/>
              </w:rPr>
              <w:t>2-</w:t>
            </w:r>
          </w:p>
        </w:tc>
        <w:tc>
          <w:tcPr>
            <w:tcW w:w="627" w:type="pct"/>
            <w:tcBorders>
              <w:top w:val="nil"/>
              <w:left w:val="nil"/>
              <w:bottom w:val="nil"/>
              <w:right w:val="nil"/>
            </w:tcBorders>
            <w:shd w:val="clear" w:color="auto" w:fill="auto"/>
            <w:noWrap/>
            <w:tcMar>
              <w:left w:w="0" w:type="dxa"/>
              <w:right w:w="0" w:type="dxa"/>
            </w:tcMar>
            <w:vAlign w:val="bottom"/>
            <w:hideMark/>
          </w:tcPr>
          <w:p w14:paraId="0C3A5B28"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1.63±1.18</w:t>
            </w:r>
          </w:p>
        </w:tc>
        <w:tc>
          <w:tcPr>
            <w:tcW w:w="627" w:type="pct"/>
            <w:tcBorders>
              <w:top w:val="nil"/>
              <w:left w:val="nil"/>
              <w:bottom w:val="nil"/>
              <w:right w:val="nil"/>
            </w:tcBorders>
            <w:shd w:val="clear" w:color="auto" w:fill="auto"/>
            <w:noWrap/>
            <w:tcMar>
              <w:left w:w="0" w:type="dxa"/>
              <w:right w:w="0" w:type="dxa"/>
            </w:tcMar>
            <w:vAlign w:val="bottom"/>
            <w:hideMark/>
          </w:tcPr>
          <w:p w14:paraId="35C7D02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7.14±6.64</w:t>
            </w:r>
          </w:p>
        </w:tc>
        <w:tc>
          <w:tcPr>
            <w:tcW w:w="627" w:type="pct"/>
            <w:tcBorders>
              <w:top w:val="nil"/>
              <w:left w:val="nil"/>
              <w:bottom w:val="nil"/>
              <w:right w:val="nil"/>
            </w:tcBorders>
            <w:shd w:val="clear" w:color="auto" w:fill="auto"/>
            <w:noWrap/>
            <w:tcMar>
              <w:left w:w="0" w:type="dxa"/>
              <w:right w:w="0" w:type="dxa"/>
            </w:tcMar>
            <w:vAlign w:val="bottom"/>
            <w:hideMark/>
          </w:tcPr>
          <w:p w14:paraId="4D88E146"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2.59±2.42</w:t>
            </w:r>
          </w:p>
        </w:tc>
        <w:tc>
          <w:tcPr>
            <w:tcW w:w="627" w:type="pct"/>
            <w:tcBorders>
              <w:top w:val="nil"/>
              <w:left w:val="nil"/>
              <w:bottom w:val="nil"/>
              <w:right w:val="nil"/>
            </w:tcBorders>
            <w:shd w:val="clear" w:color="auto" w:fill="auto"/>
            <w:noWrap/>
            <w:tcMar>
              <w:left w:w="0" w:type="dxa"/>
              <w:right w:w="0" w:type="dxa"/>
            </w:tcMar>
            <w:vAlign w:val="bottom"/>
            <w:hideMark/>
          </w:tcPr>
          <w:p w14:paraId="17371F5C"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1.28±1.13</w:t>
            </w:r>
          </w:p>
        </w:tc>
        <w:tc>
          <w:tcPr>
            <w:tcW w:w="627" w:type="pct"/>
            <w:tcBorders>
              <w:top w:val="nil"/>
              <w:left w:val="nil"/>
              <w:bottom w:val="nil"/>
              <w:right w:val="nil"/>
            </w:tcBorders>
            <w:shd w:val="clear" w:color="auto" w:fill="auto"/>
            <w:noWrap/>
            <w:tcMar>
              <w:left w:w="0" w:type="dxa"/>
              <w:right w:w="0" w:type="dxa"/>
            </w:tcMar>
            <w:vAlign w:val="bottom"/>
            <w:hideMark/>
          </w:tcPr>
          <w:p w14:paraId="38BAD999"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0.72±0.51</w:t>
            </w:r>
          </w:p>
        </w:tc>
        <w:tc>
          <w:tcPr>
            <w:tcW w:w="627" w:type="pct"/>
            <w:tcBorders>
              <w:top w:val="nil"/>
              <w:left w:val="nil"/>
              <w:bottom w:val="nil"/>
              <w:right w:val="nil"/>
            </w:tcBorders>
            <w:shd w:val="clear" w:color="auto" w:fill="auto"/>
            <w:noWrap/>
            <w:tcMar>
              <w:left w:w="0" w:type="dxa"/>
              <w:right w:w="0" w:type="dxa"/>
            </w:tcMar>
            <w:vAlign w:val="bottom"/>
            <w:hideMark/>
          </w:tcPr>
          <w:p w14:paraId="733A9FDD"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0.2±0.12</w:t>
            </w:r>
          </w:p>
        </w:tc>
      </w:tr>
      <w:tr w:rsidR="0047502F" w:rsidRPr="0047502F" w14:paraId="182EA237" w14:textId="77777777" w:rsidTr="00AA6146">
        <w:trPr>
          <w:trHeight w:val="276"/>
        </w:trPr>
        <w:tc>
          <w:tcPr>
            <w:tcW w:w="547" w:type="pct"/>
            <w:vMerge/>
            <w:tcBorders>
              <w:left w:val="nil"/>
              <w:right w:val="nil"/>
            </w:tcBorders>
            <w:tcMar>
              <w:left w:w="0" w:type="dxa"/>
              <w:right w:w="0" w:type="dxa"/>
            </w:tcMar>
          </w:tcPr>
          <w:p w14:paraId="359020A4"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75411309"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Na</w:t>
            </w:r>
            <w:r w:rsidRPr="0047502F">
              <w:rPr>
                <w:rFonts w:cs="Times New Roman"/>
                <w:kern w:val="0"/>
                <w:sz w:val="20"/>
                <w:szCs w:val="24"/>
                <w:vertAlign w:val="superscript"/>
                <w:lang w:val="en-GB" w:eastAsia="de-DE"/>
              </w:rPr>
              <w:t>+</w:t>
            </w:r>
          </w:p>
        </w:tc>
        <w:tc>
          <w:tcPr>
            <w:tcW w:w="627" w:type="pct"/>
            <w:tcBorders>
              <w:top w:val="nil"/>
              <w:left w:val="nil"/>
              <w:bottom w:val="nil"/>
              <w:right w:val="nil"/>
            </w:tcBorders>
            <w:shd w:val="clear" w:color="auto" w:fill="auto"/>
            <w:noWrap/>
            <w:tcMar>
              <w:left w:w="0" w:type="dxa"/>
              <w:right w:w="0" w:type="dxa"/>
            </w:tcMar>
            <w:vAlign w:val="bottom"/>
            <w:hideMark/>
          </w:tcPr>
          <w:p w14:paraId="5C8429D8"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0.29±0.08</w:t>
            </w:r>
          </w:p>
        </w:tc>
        <w:tc>
          <w:tcPr>
            <w:tcW w:w="627" w:type="pct"/>
            <w:tcBorders>
              <w:top w:val="nil"/>
              <w:left w:val="nil"/>
              <w:bottom w:val="nil"/>
              <w:right w:val="nil"/>
            </w:tcBorders>
            <w:shd w:val="clear" w:color="auto" w:fill="auto"/>
            <w:noWrap/>
            <w:tcMar>
              <w:left w:w="0" w:type="dxa"/>
              <w:right w:w="0" w:type="dxa"/>
            </w:tcMar>
            <w:vAlign w:val="bottom"/>
            <w:hideMark/>
          </w:tcPr>
          <w:p w14:paraId="55461AC2"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0.37±0.17</w:t>
            </w:r>
          </w:p>
        </w:tc>
        <w:tc>
          <w:tcPr>
            <w:tcW w:w="627" w:type="pct"/>
            <w:tcBorders>
              <w:top w:val="nil"/>
              <w:left w:val="nil"/>
              <w:bottom w:val="nil"/>
              <w:right w:val="nil"/>
            </w:tcBorders>
            <w:shd w:val="clear" w:color="auto" w:fill="auto"/>
            <w:noWrap/>
            <w:tcMar>
              <w:left w:w="0" w:type="dxa"/>
              <w:right w:w="0" w:type="dxa"/>
            </w:tcMar>
            <w:vAlign w:val="bottom"/>
            <w:hideMark/>
          </w:tcPr>
          <w:p w14:paraId="7D7D75C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0.25±0.06</w:t>
            </w:r>
          </w:p>
        </w:tc>
        <w:tc>
          <w:tcPr>
            <w:tcW w:w="627" w:type="pct"/>
            <w:tcBorders>
              <w:top w:val="nil"/>
              <w:left w:val="nil"/>
              <w:bottom w:val="nil"/>
              <w:right w:val="nil"/>
            </w:tcBorders>
            <w:shd w:val="clear" w:color="auto" w:fill="auto"/>
            <w:noWrap/>
            <w:tcMar>
              <w:left w:w="0" w:type="dxa"/>
              <w:right w:w="0" w:type="dxa"/>
            </w:tcMar>
            <w:vAlign w:val="bottom"/>
            <w:hideMark/>
          </w:tcPr>
          <w:p w14:paraId="511BD29E"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0.23±0.06</w:t>
            </w:r>
          </w:p>
        </w:tc>
        <w:tc>
          <w:tcPr>
            <w:tcW w:w="627" w:type="pct"/>
            <w:tcBorders>
              <w:top w:val="nil"/>
              <w:left w:val="nil"/>
              <w:bottom w:val="nil"/>
              <w:right w:val="nil"/>
            </w:tcBorders>
            <w:shd w:val="clear" w:color="auto" w:fill="auto"/>
            <w:noWrap/>
            <w:tcMar>
              <w:left w:w="0" w:type="dxa"/>
              <w:right w:w="0" w:type="dxa"/>
            </w:tcMar>
            <w:vAlign w:val="bottom"/>
            <w:hideMark/>
          </w:tcPr>
          <w:p w14:paraId="336BDF53"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0.27±0.09</w:t>
            </w:r>
          </w:p>
        </w:tc>
        <w:tc>
          <w:tcPr>
            <w:tcW w:w="627" w:type="pct"/>
            <w:tcBorders>
              <w:top w:val="nil"/>
              <w:left w:val="nil"/>
              <w:bottom w:val="nil"/>
              <w:right w:val="nil"/>
            </w:tcBorders>
            <w:shd w:val="clear" w:color="auto" w:fill="auto"/>
            <w:noWrap/>
            <w:tcMar>
              <w:left w:w="0" w:type="dxa"/>
              <w:right w:w="0" w:type="dxa"/>
            </w:tcMar>
            <w:vAlign w:val="bottom"/>
            <w:hideMark/>
          </w:tcPr>
          <w:p w14:paraId="4C634A8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0.19±0.03</w:t>
            </w:r>
          </w:p>
        </w:tc>
      </w:tr>
      <w:tr w:rsidR="0047502F" w:rsidRPr="0047502F" w14:paraId="2EA47FD1" w14:textId="77777777" w:rsidTr="00AA6146">
        <w:trPr>
          <w:trHeight w:val="276"/>
        </w:trPr>
        <w:tc>
          <w:tcPr>
            <w:tcW w:w="547" w:type="pct"/>
            <w:vMerge/>
            <w:tcBorders>
              <w:left w:val="nil"/>
              <w:right w:val="nil"/>
            </w:tcBorders>
            <w:tcMar>
              <w:left w:w="0" w:type="dxa"/>
              <w:right w:w="0" w:type="dxa"/>
            </w:tcMar>
          </w:tcPr>
          <w:p w14:paraId="5011DFE9"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58C7D5DE"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NH</w:t>
            </w:r>
            <w:r w:rsidRPr="0047502F">
              <w:rPr>
                <w:rFonts w:cs="Times New Roman"/>
                <w:kern w:val="0"/>
                <w:sz w:val="20"/>
                <w:szCs w:val="24"/>
                <w:vertAlign w:val="subscript"/>
                <w:lang w:val="en-GB" w:eastAsia="de-DE"/>
              </w:rPr>
              <w:t>4</w:t>
            </w:r>
            <w:r w:rsidRPr="0047502F">
              <w:rPr>
                <w:rFonts w:cs="Times New Roman"/>
                <w:kern w:val="0"/>
                <w:sz w:val="20"/>
                <w:szCs w:val="24"/>
                <w:vertAlign w:val="superscript"/>
                <w:lang w:val="en-GB" w:eastAsia="de-DE"/>
              </w:rPr>
              <w:t>+</w:t>
            </w:r>
          </w:p>
        </w:tc>
        <w:tc>
          <w:tcPr>
            <w:tcW w:w="627" w:type="pct"/>
            <w:tcBorders>
              <w:top w:val="nil"/>
              <w:left w:val="nil"/>
              <w:bottom w:val="nil"/>
              <w:right w:val="nil"/>
            </w:tcBorders>
            <w:shd w:val="clear" w:color="auto" w:fill="auto"/>
            <w:noWrap/>
            <w:tcMar>
              <w:left w:w="0" w:type="dxa"/>
              <w:right w:w="0" w:type="dxa"/>
            </w:tcMar>
            <w:vAlign w:val="bottom"/>
            <w:hideMark/>
          </w:tcPr>
          <w:p w14:paraId="056498E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0.79±0.53</w:t>
            </w:r>
          </w:p>
        </w:tc>
        <w:tc>
          <w:tcPr>
            <w:tcW w:w="627" w:type="pct"/>
            <w:tcBorders>
              <w:top w:val="nil"/>
              <w:left w:val="nil"/>
              <w:bottom w:val="nil"/>
              <w:right w:val="nil"/>
            </w:tcBorders>
            <w:shd w:val="clear" w:color="auto" w:fill="auto"/>
            <w:noWrap/>
            <w:tcMar>
              <w:left w:w="0" w:type="dxa"/>
              <w:right w:w="0" w:type="dxa"/>
            </w:tcMar>
            <w:vAlign w:val="bottom"/>
            <w:hideMark/>
          </w:tcPr>
          <w:p w14:paraId="7F4A243D"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2.56±1.99</w:t>
            </w:r>
          </w:p>
        </w:tc>
        <w:tc>
          <w:tcPr>
            <w:tcW w:w="627" w:type="pct"/>
            <w:tcBorders>
              <w:top w:val="nil"/>
              <w:left w:val="nil"/>
              <w:bottom w:val="nil"/>
              <w:right w:val="nil"/>
            </w:tcBorders>
            <w:shd w:val="clear" w:color="auto" w:fill="auto"/>
            <w:noWrap/>
            <w:tcMar>
              <w:left w:w="0" w:type="dxa"/>
              <w:right w:w="0" w:type="dxa"/>
            </w:tcMar>
            <w:vAlign w:val="bottom"/>
            <w:hideMark/>
          </w:tcPr>
          <w:p w14:paraId="5A5D27F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1.18±1.02</w:t>
            </w:r>
          </w:p>
        </w:tc>
        <w:tc>
          <w:tcPr>
            <w:tcW w:w="627" w:type="pct"/>
            <w:tcBorders>
              <w:top w:val="nil"/>
              <w:left w:val="nil"/>
              <w:bottom w:val="nil"/>
              <w:right w:val="nil"/>
            </w:tcBorders>
            <w:shd w:val="clear" w:color="auto" w:fill="auto"/>
            <w:noWrap/>
            <w:tcMar>
              <w:left w:w="0" w:type="dxa"/>
              <w:right w:w="0" w:type="dxa"/>
            </w:tcMar>
            <w:vAlign w:val="bottom"/>
            <w:hideMark/>
          </w:tcPr>
          <w:p w14:paraId="42D295C8"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0.63±0.55</w:t>
            </w:r>
          </w:p>
        </w:tc>
        <w:tc>
          <w:tcPr>
            <w:tcW w:w="627" w:type="pct"/>
            <w:tcBorders>
              <w:top w:val="nil"/>
              <w:left w:val="nil"/>
              <w:bottom w:val="nil"/>
              <w:right w:val="nil"/>
            </w:tcBorders>
            <w:shd w:val="clear" w:color="auto" w:fill="auto"/>
            <w:noWrap/>
            <w:tcMar>
              <w:left w:w="0" w:type="dxa"/>
              <w:right w:w="0" w:type="dxa"/>
            </w:tcMar>
            <w:vAlign w:val="bottom"/>
            <w:hideMark/>
          </w:tcPr>
          <w:p w14:paraId="23C8E0D7"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0.5±0.46</w:t>
            </w:r>
          </w:p>
        </w:tc>
        <w:tc>
          <w:tcPr>
            <w:tcW w:w="627" w:type="pct"/>
            <w:tcBorders>
              <w:top w:val="nil"/>
              <w:left w:val="nil"/>
              <w:bottom w:val="nil"/>
              <w:right w:val="nil"/>
            </w:tcBorders>
            <w:shd w:val="clear" w:color="auto" w:fill="auto"/>
            <w:noWrap/>
            <w:tcMar>
              <w:left w:w="0" w:type="dxa"/>
              <w:right w:w="0" w:type="dxa"/>
            </w:tcMar>
            <w:vAlign w:val="bottom"/>
            <w:hideMark/>
          </w:tcPr>
          <w:p w14:paraId="6C666102"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0.1±0.08</w:t>
            </w:r>
          </w:p>
        </w:tc>
      </w:tr>
      <w:tr w:rsidR="0047502F" w:rsidRPr="0047502F" w14:paraId="14A1FA39" w14:textId="77777777" w:rsidTr="00AA6146">
        <w:trPr>
          <w:trHeight w:val="276"/>
        </w:trPr>
        <w:tc>
          <w:tcPr>
            <w:tcW w:w="547" w:type="pct"/>
            <w:vMerge/>
            <w:tcBorders>
              <w:left w:val="nil"/>
              <w:right w:val="nil"/>
            </w:tcBorders>
            <w:tcMar>
              <w:left w:w="0" w:type="dxa"/>
              <w:right w:w="0" w:type="dxa"/>
            </w:tcMar>
          </w:tcPr>
          <w:p w14:paraId="77C83297"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5649B780"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Mg</w:t>
            </w:r>
            <w:r w:rsidRPr="0047502F">
              <w:rPr>
                <w:rFonts w:cs="Times New Roman"/>
                <w:kern w:val="0"/>
                <w:sz w:val="20"/>
                <w:szCs w:val="24"/>
                <w:vertAlign w:val="superscript"/>
                <w:lang w:val="en-GB" w:eastAsia="de-DE"/>
              </w:rPr>
              <w:t>2+</w:t>
            </w:r>
          </w:p>
        </w:tc>
        <w:tc>
          <w:tcPr>
            <w:tcW w:w="627" w:type="pct"/>
            <w:tcBorders>
              <w:top w:val="nil"/>
              <w:left w:val="nil"/>
              <w:bottom w:val="nil"/>
              <w:right w:val="nil"/>
            </w:tcBorders>
            <w:shd w:val="clear" w:color="auto" w:fill="auto"/>
            <w:noWrap/>
            <w:tcMar>
              <w:left w:w="0" w:type="dxa"/>
              <w:right w:w="0" w:type="dxa"/>
            </w:tcMar>
            <w:vAlign w:val="bottom"/>
            <w:hideMark/>
          </w:tcPr>
          <w:p w14:paraId="65119206"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0.01</w:t>
            </w:r>
          </w:p>
        </w:tc>
        <w:tc>
          <w:tcPr>
            <w:tcW w:w="627" w:type="pct"/>
            <w:tcBorders>
              <w:top w:val="nil"/>
              <w:left w:val="nil"/>
              <w:bottom w:val="nil"/>
              <w:right w:val="nil"/>
            </w:tcBorders>
            <w:shd w:val="clear" w:color="auto" w:fill="auto"/>
            <w:noWrap/>
            <w:tcMar>
              <w:left w:w="0" w:type="dxa"/>
              <w:right w:w="0" w:type="dxa"/>
            </w:tcMar>
            <w:vAlign w:val="bottom"/>
            <w:hideMark/>
          </w:tcPr>
          <w:p w14:paraId="6E1BD8ED"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0.01</w:t>
            </w:r>
          </w:p>
        </w:tc>
        <w:tc>
          <w:tcPr>
            <w:tcW w:w="627" w:type="pct"/>
            <w:tcBorders>
              <w:top w:val="nil"/>
              <w:left w:val="nil"/>
              <w:bottom w:val="nil"/>
              <w:right w:val="nil"/>
            </w:tcBorders>
            <w:shd w:val="clear" w:color="auto" w:fill="auto"/>
            <w:noWrap/>
            <w:tcMar>
              <w:left w:w="0" w:type="dxa"/>
              <w:right w:w="0" w:type="dxa"/>
            </w:tcMar>
            <w:vAlign w:val="bottom"/>
            <w:hideMark/>
          </w:tcPr>
          <w:p w14:paraId="3D5DF9C1"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0.01</w:t>
            </w:r>
          </w:p>
        </w:tc>
        <w:tc>
          <w:tcPr>
            <w:tcW w:w="627" w:type="pct"/>
            <w:tcBorders>
              <w:top w:val="nil"/>
              <w:left w:val="nil"/>
              <w:bottom w:val="nil"/>
              <w:right w:val="nil"/>
            </w:tcBorders>
            <w:shd w:val="clear" w:color="auto" w:fill="auto"/>
            <w:noWrap/>
            <w:tcMar>
              <w:left w:w="0" w:type="dxa"/>
              <w:right w:w="0" w:type="dxa"/>
            </w:tcMar>
            <w:vAlign w:val="bottom"/>
            <w:hideMark/>
          </w:tcPr>
          <w:p w14:paraId="59432C1E"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0.02±0.01</w:t>
            </w:r>
          </w:p>
        </w:tc>
        <w:tc>
          <w:tcPr>
            <w:tcW w:w="627" w:type="pct"/>
            <w:tcBorders>
              <w:top w:val="nil"/>
              <w:left w:val="nil"/>
              <w:bottom w:val="nil"/>
              <w:right w:val="nil"/>
            </w:tcBorders>
            <w:shd w:val="clear" w:color="auto" w:fill="auto"/>
            <w:noWrap/>
            <w:tcMar>
              <w:left w:w="0" w:type="dxa"/>
              <w:right w:w="0" w:type="dxa"/>
            </w:tcMar>
            <w:vAlign w:val="bottom"/>
            <w:hideMark/>
          </w:tcPr>
          <w:p w14:paraId="01004DEC"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0.12±0.08</w:t>
            </w:r>
          </w:p>
        </w:tc>
        <w:tc>
          <w:tcPr>
            <w:tcW w:w="627" w:type="pct"/>
            <w:tcBorders>
              <w:top w:val="nil"/>
              <w:left w:val="nil"/>
              <w:bottom w:val="nil"/>
              <w:right w:val="nil"/>
            </w:tcBorders>
            <w:shd w:val="clear" w:color="auto" w:fill="auto"/>
            <w:noWrap/>
            <w:tcMar>
              <w:left w:w="0" w:type="dxa"/>
              <w:right w:w="0" w:type="dxa"/>
            </w:tcMar>
            <w:vAlign w:val="bottom"/>
            <w:hideMark/>
          </w:tcPr>
          <w:p w14:paraId="03BA141B"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0.05±0.03</w:t>
            </w:r>
          </w:p>
        </w:tc>
      </w:tr>
      <w:tr w:rsidR="0047502F" w:rsidRPr="0047502F" w14:paraId="08747F7D" w14:textId="77777777" w:rsidTr="00AA6146">
        <w:trPr>
          <w:trHeight w:val="276"/>
        </w:trPr>
        <w:tc>
          <w:tcPr>
            <w:tcW w:w="547" w:type="pct"/>
            <w:vMerge/>
            <w:tcBorders>
              <w:left w:val="nil"/>
              <w:right w:val="nil"/>
            </w:tcBorders>
            <w:tcMar>
              <w:left w:w="0" w:type="dxa"/>
              <w:right w:w="0" w:type="dxa"/>
            </w:tcMar>
          </w:tcPr>
          <w:p w14:paraId="25091457"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685E079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Ca</w:t>
            </w:r>
            <w:r w:rsidRPr="0047502F">
              <w:rPr>
                <w:rFonts w:cs="Times New Roman"/>
                <w:kern w:val="0"/>
                <w:sz w:val="20"/>
                <w:szCs w:val="24"/>
                <w:vertAlign w:val="superscript"/>
                <w:lang w:val="en-GB" w:eastAsia="de-DE"/>
              </w:rPr>
              <w:t>2+</w:t>
            </w:r>
          </w:p>
        </w:tc>
        <w:tc>
          <w:tcPr>
            <w:tcW w:w="627" w:type="pct"/>
            <w:tcBorders>
              <w:top w:val="nil"/>
              <w:left w:val="nil"/>
              <w:bottom w:val="nil"/>
              <w:right w:val="nil"/>
            </w:tcBorders>
            <w:shd w:val="clear" w:color="auto" w:fill="auto"/>
            <w:noWrap/>
            <w:tcMar>
              <w:left w:w="0" w:type="dxa"/>
              <w:right w:w="0" w:type="dxa"/>
            </w:tcMar>
            <w:vAlign w:val="bottom"/>
            <w:hideMark/>
          </w:tcPr>
          <w:p w14:paraId="7A55B119"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0.05±0.01</w:t>
            </w:r>
          </w:p>
        </w:tc>
        <w:tc>
          <w:tcPr>
            <w:tcW w:w="627" w:type="pct"/>
            <w:tcBorders>
              <w:top w:val="nil"/>
              <w:left w:val="nil"/>
              <w:bottom w:val="nil"/>
              <w:right w:val="nil"/>
            </w:tcBorders>
            <w:shd w:val="clear" w:color="auto" w:fill="auto"/>
            <w:noWrap/>
            <w:tcMar>
              <w:left w:w="0" w:type="dxa"/>
              <w:right w:w="0" w:type="dxa"/>
            </w:tcMar>
            <w:vAlign w:val="bottom"/>
            <w:hideMark/>
          </w:tcPr>
          <w:p w14:paraId="44780158"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0.08±0.02</w:t>
            </w:r>
          </w:p>
        </w:tc>
        <w:tc>
          <w:tcPr>
            <w:tcW w:w="627" w:type="pct"/>
            <w:tcBorders>
              <w:top w:val="nil"/>
              <w:left w:val="nil"/>
              <w:bottom w:val="nil"/>
              <w:right w:val="nil"/>
            </w:tcBorders>
            <w:shd w:val="clear" w:color="auto" w:fill="auto"/>
            <w:noWrap/>
            <w:tcMar>
              <w:left w:w="0" w:type="dxa"/>
              <w:right w:w="0" w:type="dxa"/>
            </w:tcMar>
            <w:vAlign w:val="bottom"/>
            <w:hideMark/>
          </w:tcPr>
          <w:p w14:paraId="4AD87126"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0.08±0.03</w:t>
            </w:r>
          </w:p>
        </w:tc>
        <w:tc>
          <w:tcPr>
            <w:tcW w:w="627" w:type="pct"/>
            <w:tcBorders>
              <w:top w:val="nil"/>
              <w:left w:val="nil"/>
              <w:bottom w:val="nil"/>
              <w:right w:val="nil"/>
            </w:tcBorders>
            <w:shd w:val="clear" w:color="auto" w:fill="auto"/>
            <w:noWrap/>
            <w:tcMar>
              <w:left w:w="0" w:type="dxa"/>
              <w:right w:w="0" w:type="dxa"/>
            </w:tcMar>
            <w:vAlign w:val="bottom"/>
            <w:hideMark/>
          </w:tcPr>
          <w:p w14:paraId="6C799306"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0.16±0.09</w:t>
            </w:r>
          </w:p>
        </w:tc>
        <w:tc>
          <w:tcPr>
            <w:tcW w:w="627" w:type="pct"/>
            <w:tcBorders>
              <w:top w:val="nil"/>
              <w:left w:val="nil"/>
              <w:bottom w:val="nil"/>
              <w:right w:val="nil"/>
            </w:tcBorders>
            <w:shd w:val="clear" w:color="auto" w:fill="auto"/>
            <w:noWrap/>
            <w:tcMar>
              <w:left w:w="0" w:type="dxa"/>
              <w:right w:w="0" w:type="dxa"/>
            </w:tcMar>
            <w:vAlign w:val="bottom"/>
            <w:hideMark/>
          </w:tcPr>
          <w:p w14:paraId="0F0A2D51"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1.21±0.87</w:t>
            </w:r>
          </w:p>
        </w:tc>
        <w:tc>
          <w:tcPr>
            <w:tcW w:w="627" w:type="pct"/>
            <w:tcBorders>
              <w:top w:val="nil"/>
              <w:left w:val="nil"/>
              <w:bottom w:val="nil"/>
              <w:right w:val="nil"/>
            </w:tcBorders>
            <w:shd w:val="clear" w:color="auto" w:fill="auto"/>
            <w:noWrap/>
            <w:tcMar>
              <w:left w:w="0" w:type="dxa"/>
              <w:right w:w="0" w:type="dxa"/>
            </w:tcMar>
            <w:vAlign w:val="bottom"/>
            <w:hideMark/>
          </w:tcPr>
          <w:p w14:paraId="147931B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0.62±0.49</w:t>
            </w:r>
          </w:p>
        </w:tc>
      </w:tr>
      <w:tr w:rsidR="0047502F" w:rsidRPr="0047502F" w14:paraId="09C88DE2" w14:textId="77777777" w:rsidTr="00AA6146">
        <w:trPr>
          <w:trHeight w:val="276"/>
        </w:trPr>
        <w:tc>
          <w:tcPr>
            <w:tcW w:w="547" w:type="pct"/>
            <w:vMerge/>
            <w:tcBorders>
              <w:left w:val="nil"/>
              <w:right w:val="nil"/>
            </w:tcBorders>
            <w:tcMar>
              <w:left w:w="0" w:type="dxa"/>
              <w:right w:w="0" w:type="dxa"/>
            </w:tcMar>
          </w:tcPr>
          <w:p w14:paraId="784BA19E"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088427FB"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K</w:t>
            </w:r>
            <w:r w:rsidRPr="0047502F">
              <w:rPr>
                <w:rFonts w:cs="Times New Roman"/>
                <w:kern w:val="0"/>
                <w:sz w:val="20"/>
                <w:szCs w:val="24"/>
                <w:vertAlign w:val="superscript"/>
                <w:lang w:val="en-GB" w:eastAsia="de-DE"/>
              </w:rPr>
              <w:t>+</w:t>
            </w:r>
          </w:p>
        </w:tc>
        <w:tc>
          <w:tcPr>
            <w:tcW w:w="627" w:type="pct"/>
            <w:tcBorders>
              <w:top w:val="nil"/>
              <w:left w:val="nil"/>
              <w:bottom w:val="nil"/>
              <w:right w:val="nil"/>
            </w:tcBorders>
            <w:shd w:val="clear" w:color="auto" w:fill="auto"/>
            <w:noWrap/>
            <w:tcMar>
              <w:left w:w="0" w:type="dxa"/>
              <w:right w:w="0" w:type="dxa"/>
            </w:tcMar>
            <w:vAlign w:val="bottom"/>
            <w:hideMark/>
          </w:tcPr>
          <w:p w14:paraId="50FE8C2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0.03±0.02</w:t>
            </w:r>
          </w:p>
        </w:tc>
        <w:tc>
          <w:tcPr>
            <w:tcW w:w="627" w:type="pct"/>
            <w:tcBorders>
              <w:top w:val="nil"/>
              <w:left w:val="nil"/>
              <w:bottom w:val="nil"/>
              <w:right w:val="nil"/>
            </w:tcBorders>
            <w:shd w:val="clear" w:color="auto" w:fill="auto"/>
            <w:noWrap/>
            <w:tcMar>
              <w:left w:w="0" w:type="dxa"/>
              <w:right w:w="0" w:type="dxa"/>
            </w:tcMar>
            <w:vAlign w:val="bottom"/>
            <w:hideMark/>
          </w:tcPr>
          <w:p w14:paraId="5053379D"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0.14±0.11</w:t>
            </w:r>
          </w:p>
        </w:tc>
        <w:tc>
          <w:tcPr>
            <w:tcW w:w="627" w:type="pct"/>
            <w:tcBorders>
              <w:top w:val="nil"/>
              <w:left w:val="nil"/>
              <w:bottom w:val="nil"/>
              <w:right w:val="nil"/>
            </w:tcBorders>
            <w:shd w:val="clear" w:color="auto" w:fill="auto"/>
            <w:noWrap/>
            <w:tcMar>
              <w:left w:w="0" w:type="dxa"/>
              <w:right w:w="0" w:type="dxa"/>
            </w:tcMar>
            <w:vAlign w:val="bottom"/>
            <w:hideMark/>
          </w:tcPr>
          <w:p w14:paraId="23896983"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0.05±0.04</w:t>
            </w:r>
          </w:p>
        </w:tc>
        <w:tc>
          <w:tcPr>
            <w:tcW w:w="627" w:type="pct"/>
            <w:tcBorders>
              <w:top w:val="nil"/>
              <w:left w:val="nil"/>
              <w:bottom w:val="nil"/>
              <w:right w:val="nil"/>
            </w:tcBorders>
            <w:shd w:val="clear" w:color="auto" w:fill="auto"/>
            <w:noWrap/>
            <w:tcMar>
              <w:left w:w="0" w:type="dxa"/>
              <w:right w:w="0" w:type="dxa"/>
            </w:tcMar>
            <w:vAlign w:val="bottom"/>
            <w:hideMark/>
          </w:tcPr>
          <w:p w14:paraId="69A19A82"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0.04±0.02</w:t>
            </w:r>
          </w:p>
        </w:tc>
        <w:tc>
          <w:tcPr>
            <w:tcW w:w="627" w:type="pct"/>
            <w:tcBorders>
              <w:top w:val="nil"/>
              <w:left w:val="nil"/>
              <w:bottom w:val="nil"/>
              <w:right w:val="nil"/>
            </w:tcBorders>
            <w:shd w:val="clear" w:color="auto" w:fill="auto"/>
            <w:noWrap/>
            <w:tcMar>
              <w:left w:w="0" w:type="dxa"/>
              <w:right w:w="0" w:type="dxa"/>
            </w:tcMar>
            <w:vAlign w:val="bottom"/>
            <w:hideMark/>
          </w:tcPr>
          <w:p w14:paraId="77B157D9"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0.06±0.02</w:t>
            </w:r>
          </w:p>
        </w:tc>
        <w:tc>
          <w:tcPr>
            <w:tcW w:w="627" w:type="pct"/>
            <w:tcBorders>
              <w:top w:val="nil"/>
              <w:left w:val="nil"/>
              <w:bottom w:val="nil"/>
              <w:right w:val="nil"/>
            </w:tcBorders>
            <w:shd w:val="clear" w:color="auto" w:fill="auto"/>
            <w:noWrap/>
            <w:tcMar>
              <w:left w:w="0" w:type="dxa"/>
              <w:right w:w="0" w:type="dxa"/>
            </w:tcMar>
            <w:vAlign w:val="bottom"/>
            <w:hideMark/>
          </w:tcPr>
          <w:p w14:paraId="69840BE0"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0.02±0.01</w:t>
            </w:r>
          </w:p>
        </w:tc>
      </w:tr>
      <w:tr w:rsidR="0047502F" w:rsidRPr="0047502F" w14:paraId="146CCBFD" w14:textId="77777777" w:rsidTr="00AA6146">
        <w:trPr>
          <w:trHeight w:val="276"/>
        </w:trPr>
        <w:tc>
          <w:tcPr>
            <w:tcW w:w="547" w:type="pct"/>
            <w:vMerge/>
            <w:tcBorders>
              <w:left w:val="nil"/>
              <w:right w:val="nil"/>
            </w:tcBorders>
            <w:tcMar>
              <w:left w:w="0" w:type="dxa"/>
              <w:right w:w="0" w:type="dxa"/>
            </w:tcMar>
          </w:tcPr>
          <w:p w14:paraId="6DF7D417"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57907103"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OC</w:t>
            </w:r>
          </w:p>
        </w:tc>
        <w:tc>
          <w:tcPr>
            <w:tcW w:w="627" w:type="pct"/>
            <w:tcBorders>
              <w:top w:val="nil"/>
              <w:left w:val="nil"/>
              <w:bottom w:val="nil"/>
              <w:right w:val="nil"/>
            </w:tcBorders>
            <w:shd w:val="clear" w:color="auto" w:fill="auto"/>
            <w:noWrap/>
            <w:tcMar>
              <w:left w:w="0" w:type="dxa"/>
              <w:right w:w="0" w:type="dxa"/>
            </w:tcMar>
            <w:vAlign w:val="bottom"/>
            <w:hideMark/>
          </w:tcPr>
          <w:p w14:paraId="5B4C674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2.67±0.98</w:t>
            </w:r>
          </w:p>
        </w:tc>
        <w:tc>
          <w:tcPr>
            <w:tcW w:w="627" w:type="pct"/>
            <w:tcBorders>
              <w:top w:val="nil"/>
              <w:left w:val="nil"/>
              <w:bottom w:val="nil"/>
              <w:right w:val="nil"/>
            </w:tcBorders>
            <w:shd w:val="clear" w:color="auto" w:fill="auto"/>
            <w:noWrap/>
            <w:tcMar>
              <w:left w:w="0" w:type="dxa"/>
              <w:right w:w="0" w:type="dxa"/>
            </w:tcMar>
            <w:vAlign w:val="bottom"/>
            <w:hideMark/>
          </w:tcPr>
          <w:p w14:paraId="1D227A1D"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3.93±2.22</w:t>
            </w:r>
          </w:p>
        </w:tc>
        <w:tc>
          <w:tcPr>
            <w:tcW w:w="627" w:type="pct"/>
            <w:tcBorders>
              <w:top w:val="nil"/>
              <w:left w:val="nil"/>
              <w:bottom w:val="nil"/>
              <w:right w:val="nil"/>
            </w:tcBorders>
            <w:shd w:val="clear" w:color="auto" w:fill="auto"/>
            <w:noWrap/>
            <w:tcMar>
              <w:left w:w="0" w:type="dxa"/>
              <w:right w:w="0" w:type="dxa"/>
            </w:tcMar>
            <w:vAlign w:val="bottom"/>
            <w:hideMark/>
          </w:tcPr>
          <w:p w14:paraId="4EB37F47"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1.39±0.67</w:t>
            </w:r>
          </w:p>
        </w:tc>
        <w:tc>
          <w:tcPr>
            <w:tcW w:w="627" w:type="pct"/>
            <w:tcBorders>
              <w:top w:val="nil"/>
              <w:left w:val="nil"/>
              <w:bottom w:val="nil"/>
              <w:right w:val="nil"/>
            </w:tcBorders>
            <w:shd w:val="clear" w:color="auto" w:fill="auto"/>
            <w:noWrap/>
            <w:tcMar>
              <w:left w:w="0" w:type="dxa"/>
              <w:right w:w="0" w:type="dxa"/>
            </w:tcMar>
            <w:vAlign w:val="bottom"/>
            <w:hideMark/>
          </w:tcPr>
          <w:p w14:paraId="5726B157"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1.14±0.41</w:t>
            </w:r>
          </w:p>
        </w:tc>
        <w:tc>
          <w:tcPr>
            <w:tcW w:w="627" w:type="pct"/>
            <w:tcBorders>
              <w:top w:val="nil"/>
              <w:left w:val="nil"/>
              <w:bottom w:val="nil"/>
              <w:right w:val="nil"/>
            </w:tcBorders>
            <w:shd w:val="clear" w:color="auto" w:fill="auto"/>
            <w:noWrap/>
            <w:tcMar>
              <w:left w:w="0" w:type="dxa"/>
              <w:right w:w="0" w:type="dxa"/>
            </w:tcMar>
            <w:vAlign w:val="bottom"/>
            <w:hideMark/>
          </w:tcPr>
          <w:p w14:paraId="026E3BB0"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3.5±1.21</w:t>
            </w:r>
          </w:p>
        </w:tc>
        <w:tc>
          <w:tcPr>
            <w:tcW w:w="627" w:type="pct"/>
            <w:tcBorders>
              <w:top w:val="nil"/>
              <w:left w:val="nil"/>
              <w:bottom w:val="nil"/>
              <w:right w:val="nil"/>
            </w:tcBorders>
            <w:shd w:val="clear" w:color="auto" w:fill="auto"/>
            <w:noWrap/>
            <w:tcMar>
              <w:left w:w="0" w:type="dxa"/>
              <w:right w:w="0" w:type="dxa"/>
            </w:tcMar>
            <w:vAlign w:val="bottom"/>
            <w:hideMark/>
          </w:tcPr>
          <w:p w14:paraId="59F483B0"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2.22±1.76</w:t>
            </w:r>
          </w:p>
        </w:tc>
      </w:tr>
      <w:tr w:rsidR="0047502F" w:rsidRPr="0047502F" w14:paraId="6077E359" w14:textId="77777777" w:rsidTr="00AA6146">
        <w:trPr>
          <w:trHeight w:val="276"/>
        </w:trPr>
        <w:tc>
          <w:tcPr>
            <w:tcW w:w="547" w:type="pct"/>
            <w:vMerge/>
            <w:tcBorders>
              <w:left w:val="nil"/>
              <w:right w:val="nil"/>
            </w:tcBorders>
            <w:tcMar>
              <w:left w:w="0" w:type="dxa"/>
              <w:right w:w="0" w:type="dxa"/>
            </w:tcMar>
          </w:tcPr>
          <w:p w14:paraId="2CDA533F"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nil"/>
              <w:right w:val="nil"/>
            </w:tcBorders>
            <w:shd w:val="clear" w:color="auto" w:fill="auto"/>
            <w:noWrap/>
            <w:tcMar>
              <w:left w:w="0" w:type="dxa"/>
              <w:right w:w="0" w:type="dxa"/>
            </w:tcMar>
            <w:vAlign w:val="bottom"/>
            <w:hideMark/>
          </w:tcPr>
          <w:p w14:paraId="4EB8636A"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EC</w:t>
            </w:r>
          </w:p>
        </w:tc>
        <w:tc>
          <w:tcPr>
            <w:tcW w:w="627" w:type="pct"/>
            <w:tcBorders>
              <w:top w:val="nil"/>
              <w:left w:val="nil"/>
              <w:bottom w:val="nil"/>
              <w:right w:val="nil"/>
            </w:tcBorders>
            <w:shd w:val="clear" w:color="auto" w:fill="auto"/>
            <w:noWrap/>
            <w:tcMar>
              <w:left w:w="0" w:type="dxa"/>
              <w:right w:w="0" w:type="dxa"/>
            </w:tcMar>
            <w:vAlign w:val="bottom"/>
            <w:hideMark/>
          </w:tcPr>
          <w:p w14:paraId="12CAB6F2"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0.38±0.12</w:t>
            </w:r>
          </w:p>
        </w:tc>
        <w:tc>
          <w:tcPr>
            <w:tcW w:w="627" w:type="pct"/>
            <w:tcBorders>
              <w:top w:val="nil"/>
              <w:left w:val="nil"/>
              <w:bottom w:val="nil"/>
              <w:right w:val="nil"/>
            </w:tcBorders>
            <w:shd w:val="clear" w:color="auto" w:fill="auto"/>
            <w:noWrap/>
            <w:tcMar>
              <w:left w:w="0" w:type="dxa"/>
              <w:right w:w="0" w:type="dxa"/>
            </w:tcMar>
            <w:vAlign w:val="bottom"/>
            <w:hideMark/>
          </w:tcPr>
          <w:p w14:paraId="05D928CD"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0.44±0.16</w:t>
            </w:r>
          </w:p>
        </w:tc>
        <w:tc>
          <w:tcPr>
            <w:tcW w:w="627" w:type="pct"/>
            <w:tcBorders>
              <w:top w:val="nil"/>
              <w:left w:val="nil"/>
              <w:bottom w:val="nil"/>
              <w:right w:val="nil"/>
            </w:tcBorders>
            <w:shd w:val="clear" w:color="auto" w:fill="auto"/>
            <w:noWrap/>
            <w:tcMar>
              <w:left w:w="0" w:type="dxa"/>
              <w:right w:w="0" w:type="dxa"/>
            </w:tcMar>
            <w:vAlign w:val="bottom"/>
            <w:hideMark/>
          </w:tcPr>
          <w:p w14:paraId="76FEED80"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0.2±0.09</w:t>
            </w:r>
          </w:p>
        </w:tc>
        <w:tc>
          <w:tcPr>
            <w:tcW w:w="627" w:type="pct"/>
            <w:tcBorders>
              <w:top w:val="nil"/>
              <w:left w:val="nil"/>
              <w:bottom w:val="nil"/>
              <w:right w:val="nil"/>
            </w:tcBorders>
            <w:shd w:val="clear" w:color="auto" w:fill="auto"/>
            <w:noWrap/>
            <w:tcMar>
              <w:left w:w="0" w:type="dxa"/>
              <w:right w:w="0" w:type="dxa"/>
            </w:tcMar>
            <w:vAlign w:val="bottom"/>
            <w:hideMark/>
          </w:tcPr>
          <w:p w14:paraId="2CEA4E13"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0.22±0.06</w:t>
            </w:r>
          </w:p>
        </w:tc>
        <w:tc>
          <w:tcPr>
            <w:tcW w:w="627" w:type="pct"/>
            <w:tcBorders>
              <w:top w:val="nil"/>
              <w:left w:val="nil"/>
              <w:bottom w:val="nil"/>
              <w:right w:val="nil"/>
            </w:tcBorders>
            <w:shd w:val="clear" w:color="auto" w:fill="auto"/>
            <w:noWrap/>
            <w:tcMar>
              <w:left w:w="0" w:type="dxa"/>
              <w:right w:w="0" w:type="dxa"/>
            </w:tcMar>
            <w:vAlign w:val="bottom"/>
            <w:hideMark/>
          </w:tcPr>
          <w:p w14:paraId="33C1EB12"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0.34±0.22</w:t>
            </w:r>
          </w:p>
        </w:tc>
        <w:tc>
          <w:tcPr>
            <w:tcW w:w="627" w:type="pct"/>
            <w:tcBorders>
              <w:top w:val="nil"/>
              <w:left w:val="nil"/>
              <w:bottom w:val="nil"/>
              <w:right w:val="nil"/>
            </w:tcBorders>
            <w:shd w:val="clear" w:color="auto" w:fill="auto"/>
            <w:noWrap/>
            <w:tcMar>
              <w:left w:w="0" w:type="dxa"/>
              <w:right w:w="0" w:type="dxa"/>
            </w:tcMar>
            <w:vAlign w:val="bottom"/>
            <w:hideMark/>
          </w:tcPr>
          <w:p w14:paraId="3163E5E9"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0.5±0.52</w:t>
            </w:r>
          </w:p>
        </w:tc>
      </w:tr>
      <w:tr w:rsidR="0047502F" w:rsidRPr="0047502F" w14:paraId="2F67C032" w14:textId="77777777" w:rsidTr="00AA6146">
        <w:trPr>
          <w:trHeight w:val="276"/>
        </w:trPr>
        <w:tc>
          <w:tcPr>
            <w:tcW w:w="547" w:type="pct"/>
            <w:vMerge/>
            <w:tcBorders>
              <w:left w:val="nil"/>
              <w:right w:val="nil"/>
            </w:tcBorders>
            <w:tcMar>
              <w:left w:w="0" w:type="dxa"/>
              <w:right w:w="0" w:type="dxa"/>
            </w:tcMar>
          </w:tcPr>
          <w:p w14:paraId="7259C703"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right w:val="nil"/>
            </w:tcBorders>
            <w:shd w:val="clear" w:color="auto" w:fill="auto"/>
            <w:noWrap/>
            <w:tcMar>
              <w:left w:w="0" w:type="dxa"/>
              <w:right w:w="0" w:type="dxa"/>
            </w:tcMar>
            <w:vAlign w:val="bottom"/>
          </w:tcPr>
          <w:p w14:paraId="7934BDB1"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WSOC</w:t>
            </w:r>
          </w:p>
        </w:tc>
        <w:tc>
          <w:tcPr>
            <w:tcW w:w="627" w:type="pct"/>
            <w:tcBorders>
              <w:top w:val="nil"/>
              <w:left w:val="nil"/>
              <w:right w:val="nil"/>
            </w:tcBorders>
            <w:shd w:val="clear" w:color="auto" w:fill="auto"/>
            <w:noWrap/>
            <w:tcMar>
              <w:left w:w="0" w:type="dxa"/>
              <w:right w:w="0" w:type="dxa"/>
            </w:tcMar>
          </w:tcPr>
          <w:p w14:paraId="775E1606"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0.67±0.25</w:t>
            </w:r>
          </w:p>
        </w:tc>
        <w:tc>
          <w:tcPr>
            <w:tcW w:w="627" w:type="pct"/>
            <w:tcBorders>
              <w:top w:val="nil"/>
              <w:left w:val="nil"/>
              <w:right w:val="nil"/>
            </w:tcBorders>
            <w:shd w:val="clear" w:color="auto" w:fill="auto"/>
            <w:noWrap/>
            <w:tcMar>
              <w:left w:w="0" w:type="dxa"/>
              <w:right w:w="0" w:type="dxa"/>
            </w:tcMar>
          </w:tcPr>
          <w:p w14:paraId="6F7FE59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1.27±0.86</w:t>
            </w:r>
          </w:p>
        </w:tc>
        <w:tc>
          <w:tcPr>
            <w:tcW w:w="627" w:type="pct"/>
            <w:tcBorders>
              <w:top w:val="nil"/>
              <w:left w:val="nil"/>
              <w:right w:val="nil"/>
            </w:tcBorders>
            <w:shd w:val="clear" w:color="auto" w:fill="auto"/>
            <w:noWrap/>
            <w:tcMar>
              <w:left w:w="0" w:type="dxa"/>
              <w:right w:w="0" w:type="dxa"/>
            </w:tcMar>
          </w:tcPr>
          <w:p w14:paraId="18975348"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0.46±0.31</w:t>
            </w:r>
          </w:p>
        </w:tc>
        <w:tc>
          <w:tcPr>
            <w:tcW w:w="627" w:type="pct"/>
            <w:tcBorders>
              <w:top w:val="nil"/>
              <w:left w:val="nil"/>
              <w:right w:val="nil"/>
            </w:tcBorders>
            <w:shd w:val="clear" w:color="auto" w:fill="auto"/>
            <w:noWrap/>
            <w:tcMar>
              <w:left w:w="0" w:type="dxa"/>
              <w:right w:w="0" w:type="dxa"/>
            </w:tcMar>
          </w:tcPr>
          <w:p w14:paraId="0062B60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0.33±0.21</w:t>
            </w:r>
          </w:p>
        </w:tc>
        <w:tc>
          <w:tcPr>
            <w:tcW w:w="627" w:type="pct"/>
            <w:tcBorders>
              <w:top w:val="nil"/>
              <w:left w:val="nil"/>
              <w:right w:val="nil"/>
            </w:tcBorders>
            <w:shd w:val="clear" w:color="auto" w:fill="auto"/>
            <w:noWrap/>
            <w:tcMar>
              <w:left w:w="0" w:type="dxa"/>
              <w:right w:w="0" w:type="dxa"/>
            </w:tcMar>
          </w:tcPr>
          <w:p w14:paraId="65ED8E8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0.57±0.18</w:t>
            </w:r>
          </w:p>
        </w:tc>
        <w:tc>
          <w:tcPr>
            <w:tcW w:w="627" w:type="pct"/>
            <w:tcBorders>
              <w:top w:val="nil"/>
              <w:left w:val="nil"/>
              <w:right w:val="nil"/>
            </w:tcBorders>
            <w:shd w:val="clear" w:color="auto" w:fill="auto"/>
            <w:noWrap/>
            <w:tcMar>
              <w:left w:w="0" w:type="dxa"/>
              <w:right w:w="0" w:type="dxa"/>
            </w:tcMar>
          </w:tcPr>
          <w:p w14:paraId="658160B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0.27±0.18</w:t>
            </w:r>
          </w:p>
        </w:tc>
      </w:tr>
      <w:tr w:rsidR="0047502F" w:rsidRPr="0047502F" w14:paraId="5E012C61" w14:textId="77777777" w:rsidTr="00AA6146">
        <w:trPr>
          <w:trHeight w:val="276"/>
        </w:trPr>
        <w:tc>
          <w:tcPr>
            <w:tcW w:w="547" w:type="pct"/>
            <w:vMerge/>
            <w:tcBorders>
              <w:left w:val="nil"/>
              <w:bottom w:val="single" w:sz="4" w:space="0" w:color="auto"/>
              <w:right w:val="nil"/>
            </w:tcBorders>
            <w:tcMar>
              <w:left w:w="0" w:type="dxa"/>
              <w:right w:w="0" w:type="dxa"/>
            </w:tcMar>
          </w:tcPr>
          <w:p w14:paraId="3A44F9BC" w14:textId="77777777" w:rsidR="0047502F" w:rsidRPr="0047502F" w:rsidRDefault="0047502F" w:rsidP="00093D0E">
            <w:pPr>
              <w:widowControl/>
              <w:spacing w:line="360" w:lineRule="auto"/>
              <w:rPr>
                <w:rFonts w:cs="Times New Roman"/>
                <w:kern w:val="0"/>
                <w:sz w:val="20"/>
                <w:szCs w:val="24"/>
                <w:lang w:val="en-GB" w:eastAsia="de-DE"/>
              </w:rPr>
            </w:pPr>
          </w:p>
        </w:tc>
        <w:tc>
          <w:tcPr>
            <w:tcW w:w="689" w:type="pct"/>
            <w:tcBorders>
              <w:top w:val="nil"/>
              <w:left w:val="nil"/>
              <w:bottom w:val="single" w:sz="4" w:space="0" w:color="auto"/>
              <w:right w:val="nil"/>
            </w:tcBorders>
            <w:shd w:val="clear" w:color="auto" w:fill="auto"/>
            <w:noWrap/>
            <w:tcMar>
              <w:left w:w="0" w:type="dxa"/>
              <w:right w:w="0" w:type="dxa"/>
            </w:tcMar>
          </w:tcPr>
          <w:p w14:paraId="032D6449"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WSOC/OC</w:t>
            </w:r>
          </w:p>
        </w:tc>
        <w:tc>
          <w:tcPr>
            <w:tcW w:w="627" w:type="pct"/>
            <w:tcBorders>
              <w:top w:val="nil"/>
              <w:left w:val="nil"/>
              <w:bottom w:val="single" w:sz="4" w:space="0" w:color="auto"/>
              <w:right w:val="nil"/>
            </w:tcBorders>
            <w:shd w:val="clear" w:color="auto" w:fill="auto"/>
            <w:noWrap/>
            <w:tcMar>
              <w:left w:w="0" w:type="dxa"/>
              <w:right w:w="0" w:type="dxa"/>
            </w:tcMar>
            <w:vAlign w:val="bottom"/>
          </w:tcPr>
          <w:p w14:paraId="7F6D06D4"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0.26±0.08</w:t>
            </w:r>
          </w:p>
        </w:tc>
        <w:tc>
          <w:tcPr>
            <w:tcW w:w="627" w:type="pct"/>
            <w:tcBorders>
              <w:top w:val="nil"/>
              <w:left w:val="nil"/>
              <w:bottom w:val="single" w:sz="4" w:space="0" w:color="auto"/>
              <w:right w:val="nil"/>
            </w:tcBorders>
            <w:shd w:val="clear" w:color="auto" w:fill="auto"/>
            <w:noWrap/>
            <w:tcMar>
              <w:left w:w="0" w:type="dxa"/>
              <w:right w:w="0" w:type="dxa"/>
            </w:tcMar>
            <w:vAlign w:val="bottom"/>
          </w:tcPr>
          <w:p w14:paraId="14ABE9B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0.3±0.07</w:t>
            </w:r>
          </w:p>
        </w:tc>
        <w:tc>
          <w:tcPr>
            <w:tcW w:w="627" w:type="pct"/>
            <w:tcBorders>
              <w:top w:val="nil"/>
              <w:left w:val="nil"/>
              <w:bottom w:val="single" w:sz="4" w:space="0" w:color="auto"/>
              <w:right w:val="nil"/>
            </w:tcBorders>
            <w:shd w:val="clear" w:color="auto" w:fill="auto"/>
            <w:noWrap/>
            <w:tcMar>
              <w:left w:w="0" w:type="dxa"/>
              <w:right w:w="0" w:type="dxa"/>
            </w:tcMar>
            <w:vAlign w:val="bottom"/>
          </w:tcPr>
          <w:p w14:paraId="2231848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0.31±0.1</w:t>
            </w:r>
          </w:p>
        </w:tc>
        <w:tc>
          <w:tcPr>
            <w:tcW w:w="627" w:type="pct"/>
            <w:tcBorders>
              <w:top w:val="nil"/>
              <w:left w:val="nil"/>
              <w:bottom w:val="single" w:sz="4" w:space="0" w:color="auto"/>
              <w:right w:val="nil"/>
            </w:tcBorders>
            <w:shd w:val="clear" w:color="auto" w:fill="auto"/>
            <w:noWrap/>
            <w:tcMar>
              <w:left w:w="0" w:type="dxa"/>
              <w:right w:w="0" w:type="dxa"/>
            </w:tcMar>
            <w:vAlign w:val="bottom"/>
          </w:tcPr>
          <w:p w14:paraId="60B5ABE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0.27±0.1</w:t>
            </w:r>
          </w:p>
        </w:tc>
        <w:tc>
          <w:tcPr>
            <w:tcW w:w="627" w:type="pct"/>
            <w:tcBorders>
              <w:top w:val="nil"/>
              <w:left w:val="nil"/>
              <w:bottom w:val="single" w:sz="4" w:space="0" w:color="auto"/>
              <w:right w:val="nil"/>
            </w:tcBorders>
            <w:shd w:val="clear" w:color="auto" w:fill="auto"/>
            <w:noWrap/>
            <w:tcMar>
              <w:left w:w="0" w:type="dxa"/>
              <w:right w:w="0" w:type="dxa"/>
            </w:tcMar>
            <w:vAlign w:val="bottom"/>
          </w:tcPr>
          <w:p w14:paraId="34905845"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0.17±0.04</w:t>
            </w:r>
          </w:p>
        </w:tc>
        <w:tc>
          <w:tcPr>
            <w:tcW w:w="627" w:type="pct"/>
            <w:tcBorders>
              <w:top w:val="nil"/>
              <w:left w:val="nil"/>
              <w:bottom w:val="single" w:sz="4" w:space="0" w:color="auto"/>
              <w:right w:val="nil"/>
            </w:tcBorders>
            <w:shd w:val="clear" w:color="auto" w:fill="auto"/>
            <w:noWrap/>
            <w:tcMar>
              <w:left w:w="0" w:type="dxa"/>
              <w:right w:w="0" w:type="dxa"/>
            </w:tcMar>
            <w:vAlign w:val="bottom"/>
          </w:tcPr>
          <w:p w14:paraId="20970E02" w14:textId="77777777" w:rsidR="0047502F" w:rsidRPr="0047502F" w:rsidRDefault="0047502F" w:rsidP="00093D0E">
            <w:pPr>
              <w:widowControl/>
              <w:spacing w:line="360" w:lineRule="auto"/>
              <w:rPr>
                <w:rFonts w:cs="Times New Roman"/>
                <w:kern w:val="0"/>
                <w:sz w:val="20"/>
                <w:szCs w:val="24"/>
                <w:lang w:val="en-GB" w:eastAsia="de-DE"/>
              </w:rPr>
            </w:pPr>
            <w:r w:rsidRPr="0047502F">
              <w:rPr>
                <w:rFonts w:cs="Times New Roman"/>
                <w:kern w:val="0"/>
                <w:sz w:val="20"/>
                <w:szCs w:val="24"/>
                <w:lang w:val="en-GB" w:eastAsia="de-DE"/>
              </w:rPr>
              <w:t>0.16±0.12</w:t>
            </w:r>
          </w:p>
        </w:tc>
      </w:tr>
    </w:tbl>
    <w:p w14:paraId="6E107448" w14:textId="77777777" w:rsidR="0047502F" w:rsidRPr="0047502F" w:rsidRDefault="0047502F" w:rsidP="00093D0E">
      <w:pPr>
        <w:widowControl/>
        <w:spacing w:before="100" w:beforeAutospacing="1" w:after="120"/>
        <w:rPr>
          <w:rFonts w:cs="Times New Roman"/>
          <w:kern w:val="0"/>
          <w:sz w:val="24"/>
          <w:szCs w:val="24"/>
        </w:rPr>
      </w:pPr>
    </w:p>
    <w:p w14:paraId="0849CF58" w14:textId="77777777" w:rsidR="00275497" w:rsidRDefault="00275497" w:rsidP="00093D0E">
      <w:pPr>
        <w:widowControl/>
        <w:numPr>
          <w:ilvl w:val="0"/>
          <w:numId w:val="4"/>
        </w:numPr>
        <w:spacing w:before="100" w:beforeAutospacing="1" w:after="120"/>
        <w:rPr>
          <w:rFonts w:cs="Times New Roman"/>
          <w:kern w:val="0"/>
          <w:sz w:val="24"/>
          <w:szCs w:val="24"/>
        </w:rPr>
      </w:pPr>
      <w:r w:rsidRPr="006E1E8C">
        <w:rPr>
          <w:rFonts w:cs="Times New Roman"/>
          <w:kern w:val="0"/>
          <w:sz w:val="24"/>
          <w:szCs w:val="24"/>
        </w:rPr>
        <w:t>Please, update the year of the reference Almeida et al. (Environ. Sci. Technol. 54, 1082-1091), since it was published in 2020.</w:t>
      </w:r>
    </w:p>
    <w:p w14:paraId="12A406B6" w14:textId="77777777" w:rsidR="006D7C9F" w:rsidRDefault="00093D0E" w:rsidP="00093D0E">
      <w:pPr>
        <w:widowControl/>
        <w:spacing w:before="100" w:beforeAutospacing="1" w:after="120"/>
        <w:rPr>
          <w:rFonts w:cs="Times New Roman"/>
          <w:kern w:val="0"/>
          <w:sz w:val="24"/>
          <w:szCs w:val="24"/>
        </w:rPr>
      </w:pPr>
      <w:r w:rsidRPr="00093D0E">
        <w:rPr>
          <w:rFonts w:cs="Times New Roman"/>
          <w:b/>
          <w:bCs/>
          <w:kern w:val="0"/>
          <w:sz w:val="24"/>
          <w:szCs w:val="24"/>
        </w:rPr>
        <w:t>Thank you for your advice</w:t>
      </w:r>
      <w:r>
        <w:rPr>
          <w:rFonts w:cs="Times New Roman"/>
          <w:b/>
          <w:bCs/>
          <w:kern w:val="0"/>
          <w:sz w:val="24"/>
          <w:szCs w:val="24"/>
        </w:rPr>
        <w:t xml:space="preserve">. </w:t>
      </w:r>
      <w:r>
        <w:rPr>
          <w:rFonts w:cs="Times New Roman"/>
          <w:kern w:val="0"/>
          <w:sz w:val="24"/>
          <w:szCs w:val="24"/>
        </w:rPr>
        <w:t xml:space="preserve">We have modified the publish year of reference </w:t>
      </w:r>
      <w:r w:rsidRPr="00093D0E">
        <w:rPr>
          <w:rFonts w:cs="Times New Roman"/>
          <w:kern w:val="0"/>
          <w:sz w:val="24"/>
          <w:szCs w:val="24"/>
        </w:rPr>
        <w:t>Almeida et al.</w:t>
      </w:r>
      <w:r>
        <w:rPr>
          <w:rFonts w:cs="Times New Roman"/>
          <w:kern w:val="0"/>
          <w:sz w:val="24"/>
          <w:szCs w:val="24"/>
        </w:rPr>
        <w:t xml:space="preserve"> (2020) both in the manuscript and reference list. They are now read as follows.</w:t>
      </w:r>
    </w:p>
    <w:p w14:paraId="39A2403F" w14:textId="77777777" w:rsidR="00093D0E" w:rsidRDefault="00093D0E" w:rsidP="00093D0E">
      <w:pPr>
        <w:widowControl/>
        <w:spacing w:before="100" w:beforeAutospacing="1" w:after="120"/>
        <w:rPr>
          <w:rFonts w:cs="Times New Roman"/>
          <w:kern w:val="0"/>
          <w:sz w:val="24"/>
          <w:szCs w:val="24"/>
        </w:rPr>
      </w:pPr>
      <w:r>
        <w:rPr>
          <w:rFonts w:cs="Times New Roman"/>
          <w:kern w:val="0"/>
          <w:sz w:val="24"/>
          <w:szCs w:val="24"/>
        </w:rPr>
        <w:t>Line 30: “</w:t>
      </w:r>
      <w:r w:rsidRPr="00093D0E">
        <w:rPr>
          <w:rFonts w:cs="Times New Roman"/>
          <w:kern w:val="0"/>
          <w:sz w:val="24"/>
          <w:szCs w:val="24"/>
        </w:rPr>
        <w:t>WSOC is the active fraction of organic particles, comprises 10% to 80% of organic compounds (Qin et al., 2018; Almeida et al., 2020; Cai et al., 2020).</w:t>
      </w:r>
      <w:r>
        <w:rPr>
          <w:rFonts w:cs="Times New Roman"/>
          <w:kern w:val="0"/>
          <w:sz w:val="24"/>
          <w:szCs w:val="24"/>
        </w:rPr>
        <w:t>”</w:t>
      </w:r>
    </w:p>
    <w:p w14:paraId="20877958" w14:textId="77777777" w:rsidR="00093D0E" w:rsidRDefault="00093D0E" w:rsidP="00093D0E">
      <w:pPr>
        <w:rPr>
          <w:rFonts w:cs="Times New Roman"/>
          <w:kern w:val="0"/>
          <w:sz w:val="24"/>
          <w:szCs w:val="24"/>
        </w:rPr>
      </w:pPr>
      <w:r>
        <w:rPr>
          <w:rFonts w:cs="Times New Roman"/>
          <w:kern w:val="0"/>
          <w:sz w:val="24"/>
          <w:szCs w:val="24"/>
        </w:rPr>
        <w:t>Reference:</w:t>
      </w:r>
      <w:r w:rsidRPr="00093D0E">
        <w:rPr>
          <w:rFonts w:cs="Times New Roman"/>
          <w:kern w:val="0"/>
          <w:sz w:val="24"/>
          <w:szCs w:val="24"/>
        </w:rPr>
        <w:t xml:space="preserve"> “</w:t>
      </w:r>
      <w:bookmarkStart w:id="3" w:name="_Hlk74931240"/>
      <w:r w:rsidRPr="00093D0E">
        <w:rPr>
          <w:rFonts w:cs="Times New Roman"/>
          <w:kern w:val="0"/>
          <w:sz w:val="24"/>
          <w:szCs w:val="24"/>
          <w:lang w:val="en-GB" w:eastAsia="de-DE"/>
        </w:rPr>
        <w:t>Almeida, A. S., Ferreira, R. M. P., Silva, A. M. S., Duarte, A. C., Neves, B. M. and Duarte, R.: Structural features and pro-inflammatory effects of water-soluble organic matter in inhalable fine urban air particles,</w:t>
      </w:r>
      <w:r w:rsidRPr="00093D0E">
        <w:rPr>
          <w:rFonts w:cs="Times New Roman"/>
          <w:sz w:val="24"/>
          <w:szCs w:val="24"/>
        </w:rPr>
        <w:t xml:space="preserve"> </w:t>
      </w:r>
      <w:r w:rsidRPr="00093D0E">
        <w:rPr>
          <w:rFonts w:cs="Times New Roman"/>
          <w:kern w:val="0"/>
          <w:sz w:val="24"/>
          <w:szCs w:val="24"/>
          <w:lang w:eastAsia="de-DE"/>
        </w:rPr>
        <w:t>Environ Sci Technol,</w:t>
      </w:r>
      <w:r w:rsidRPr="00093D0E">
        <w:rPr>
          <w:rFonts w:eastAsia="Times New Roman" w:cs="Times New Roman"/>
          <w:kern w:val="0"/>
          <w:sz w:val="24"/>
          <w:szCs w:val="24"/>
          <w:lang w:val="en-GB" w:eastAsia="de-DE"/>
        </w:rPr>
        <w:t xml:space="preserve"> 54, </w:t>
      </w:r>
      <w:r w:rsidRPr="00093D0E">
        <w:rPr>
          <w:rFonts w:cs="Times New Roman"/>
          <w:kern w:val="0"/>
          <w:sz w:val="24"/>
          <w:szCs w:val="24"/>
          <w:lang w:val="en-GB" w:eastAsia="de-DE"/>
        </w:rPr>
        <w:t xml:space="preserve">1082–1091, </w:t>
      </w:r>
      <w:hyperlink r:id="rId8" w:history="1">
        <w:r w:rsidRPr="00093D0E">
          <w:rPr>
            <w:rFonts w:cs="Times New Roman"/>
            <w:color w:val="0000FF"/>
            <w:kern w:val="0"/>
            <w:sz w:val="24"/>
            <w:szCs w:val="24"/>
            <w:u w:val="single"/>
            <w:lang w:val="en-GB" w:eastAsia="de-DE"/>
          </w:rPr>
          <w:t>https://doi.org/10.1021/acs.est.9b04596</w:t>
        </w:r>
      </w:hyperlink>
      <w:r w:rsidRPr="00093D0E">
        <w:rPr>
          <w:rFonts w:cs="Times New Roman"/>
          <w:kern w:val="0"/>
          <w:sz w:val="24"/>
          <w:szCs w:val="24"/>
          <w:lang w:val="en-GB" w:eastAsia="de-DE"/>
        </w:rPr>
        <w:t>, 2020.</w:t>
      </w:r>
      <w:bookmarkEnd w:id="3"/>
      <w:r w:rsidRPr="00093D0E">
        <w:rPr>
          <w:rFonts w:cs="Times New Roman"/>
          <w:kern w:val="0"/>
          <w:sz w:val="24"/>
          <w:szCs w:val="24"/>
        </w:rPr>
        <w:t>”</w:t>
      </w:r>
    </w:p>
    <w:p w14:paraId="0846F140" w14:textId="77777777" w:rsidR="00093D0E" w:rsidRPr="00093D0E" w:rsidRDefault="00093D0E" w:rsidP="00093D0E">
      <w:pPr>
        <w:rPr>
          <w:rFonts w:cs="Times New Roman"/>
          <w:kern w:val="0"/>
          <w:sz w:val="24"/>
          <w:szCs w:val="24"/>
        </w:rPr>
      </w:pPr>
    </w:p>
    <w:p w14:paraId="24A1D448" w14:textId="77777777" w:rsidR="00275497" w:rsidRDefault="00275497" w:rsidP="00093D0E">
      <w:pPr>
        <w:rPr>
          <w:rFonts w:cs="Times New Roman"/>
          <w:kern w:val="0"/>
          <w:sz w:val="24"/>
          <w:szCs w:val="24"/>
        </w:rPr>
      </w:pPr>
      <w:r w:rsidRPr="00EA00B0">
        <w:rPr>
          <w:rFonts w:cs="Times New Roman"/>
          <w:b/>
          <w:bCs/>
          <w:kern w:val="0"/>
          <w:sz w:val="24"/>
          <w:szCs w:val="24"/>
        </w:rPr>
        <w:t>Supporting information:</w:t>
      </w:r>
      <w:r w:rsidRPr="006E1E8C">
        <w:rPr>
          <w:rFonts w:cs="Times New Roman"/>
          <w:kern w:val="0"/>
          <w:sz w:val="24"/>
          <w:szCs w:val="24"/>
        </w:rPr>
        <w:t xml:space="preserve"> the organization and cross-reference, in the main text, of the data presented in the Supporting Information needs to be better addressed. For example, there is no reference in the main text to Figures S1, S2, S4, S5 and Table S1. The authors should also clarify the purpose of these figures and table and how these data were obtained and how it is being used to support the main results and discussion presented in the manuscript. In this regard, as an example, in Figure S2 caption, it is unclear to which particles size correspond the EEM spectra in Figure S2(a), as well as to which st</w:t>
      </w:r>
      <w:r w:rsidR="00093D0E">
        <w:rPr>
          <w:rFonts w:cs="Times New Roman"/>
          <w:kern w:val="0"/>
          <w:sz w:val="24"/>
          <w:szCs w:val="24"/>
        </w:rPr>
        <w:t>u</w:t>
      </w:r>
      <w:r w:rsidRPr="006E1E8C">
        <w:rPr>
          <w:rFonts w:cs="Times New Roman"/>
          <w:kern w:val="0"/>
          <w:sz w:val="24"/>
          <w:szCs w:val="24"/>
        </w:rPr>
        <w:t>dies are the authors referring to in Figure S2(b) and S2(c).</w:t>
      </w:r>
    </w:p>
    <w:p w14:paraId="6F599230" w14:textId="77777777" w:rsidR="00093D0E" w:rsidRDefault="00093D0E" w:rsidP="00093D0E">
      <w:pPr>
        <w:rPr>
          <w:rFonts w:cs="Times New Roman"/>
          <w:sz w:val="24"/>
          <w:szCs w:val="24"/>
        </w:rPr>
      </w:pPr>
      <w:r w:rsidRPr="00093D0E">
        <w:rPr>
          <w:rFonts w:cs="Times New Roman"/>
          <w:b/>
          <w:bCs/>
          <w:sz w:val="24"/>
          <w:szCs w:val="24"/>
        </w:rPr>
        <w:t>Thank you</w:t>
      </w:r>
      <w:r>
        <w:rPr>
          <w:rFonts w:cs="Times New Roman"/>
          <w:b/>
          <w:bCs/>
          <w:sz w:val="24"/>
          <w:szCs w:val="24"/>
        </w:rPr>
        <w:t xml:space="preserve"> very much</w:t>
      </w:r>
      <w:r w:rsidRPr="00093D0E">
        <w:rPr>
          <w:rFonts w:cs="Times New Roman"/>
          <w:b/>
          <w:bCs/>
          <w:sz w:val="24"/>
          <w:szCs w:val="24"/>
        </w:rPr>
        <w:t xml:space="preserve"> for your advice</w:t>
      </w:r>
      <w:r>
        <w:rPr>
          <w:rFonts w:cs="Times New Roman"/>
          <w:b/>
          <w:bCs/>
          <w:sz w:val="24"/>
          <w:szCs w:val="24"/>
        </w:rPr>
        <w:t>s</w:t>
      </w:r>
      <w:r w:rsidRPr="00093D0E">
        <w:rPr>
          <w:rFonts w:cs="Times New Roman"/>
          <w:b/>
          <w:bCs/>
          <w:sz w:val="24"/>
          <w:szCs w:val="24"/>
        </w:rPr>
        <w:t>.</w:t>
      </w:r>
      <w:r>
        <w:rPr>
          <w:rFonts w:cs="Times New Roman"/>
          <w:b/>
          <w:bCs/>
          <w:sz w:val="24"/>
          <w:szCs w:val="24"/>
        </w:rPr>
        <w:t xml:space="preserve"> </w:t>
      </w:r>
      <w:r w:rsidRPr="00093D0E">
        <w:rPr>
          <w:rFonts w:cs="Times New Roman"/>
          <w:sz w:val="24"/>
          <w:szCs w:val="24"/>
        </w:rPr>
        <w:t>W</w:t>
      </w:r>
      <w:r>
        <w:rPr>
          <w:rFonts w:cs="Times New Roman"/>
          <w:sz w:val="24"/>
          <w:szCs w:val="24"/>
        </w:rPr>
        <w:t>e are sorry for the neglection of not</w:t>
      </w:r>
      <w:r w:rsidRPr="00093D0E">
        <w:t xml:space="preserve"> </w:t>
      </w:r>
      <w:r w:rsidRPr="00093D0E">
        <w:rPr>
          <w:rFonts w:cs="Times New Roman"/>
          <w:sz w:val="24"/>
          <w:szCs w:val="24"/>
        </w:rPr>
        <w:t>emphasiz</w:t>
      </w:r>
      <w:r>
        <w:rPr>
          <w:rFonts w:cs="Times New Roman"/>
          <w:sz w:val="24"/>
          <w:szCs w:val="24"/>
        </w:rPr>
        <w:t xml:space="preserve">ing the supporting information in manuscript. The supplementary information has all quoted in the manuscript now. </w:t>
      </w:r>
    </w:p>
    <w:p w14:paraId="5A4A38F1" w14:textId="77777777" w:rsidR="003706B1" w:rsidRDefault="003706B1" w:rsidP="00093D0E">
      <w:pPr>
        <w:rPr>
          <w:rFonts w:cs="Times New Roman"/>
          <w:sz w:val="24"/>
          <w:szCs w:val="24"/>
        </w:rPr>
      </w:pPr>
    </w:p>
    <w:p w14:paraId="6C7758FA" w14:textId="77777777" w:rsidR="00093D0E" w:rsidRDefault="003706B1" w:rsidP="00093D0E">
      <w:pPr>
        <w:rPr>
          <w:rFonts w:cs="Times New Roman"/>
          <w:sz w:val="24"/>
          <w:szCs w:val="24"/>
        </w:rPr>
      </w:pPr>
      <w:r w:rsidRPr="003706B1">
        <w:rPr>
          <w:rFonts w:cs="Times New Roman"/>
          <w:b/>
          <w:bCs/>
          <w:sz w:val="24"/>
          <w:szCs w:val="24"/>
        </w:rPr>
        <w:t>Lines 210-211:</w:t>
      </w:r>
      <w:r>
        <w:rPr>
          <w:rFonts w:cs="Times New Roman"/>
          <w:sz w:val="24"/>
          <w:szCs w:val="24"/>
        </w:rPr>
        <w:t xml:space="preserve"> “</w:t>
      </w:r>
      <w:r w:rsidRPr="003706B1">
        <w:rPr>
          <w:rFonts w:cs="Times New Roman"/>
          <w:sz w:val="24"/>
          <w:szCs w:val="24"/>
          <w:lang w:val="en-GB"/>
        </w:rPr>
        <w:t>Some other fluorescence indices were listed in Table S1.</w:t>
      </w:r>
      <w:r>
        <w:rPr>
          <w:rFonts w:cs="Times New Roman"/>
          <w:sz w:val="24"/>
          <w:szCs w:val="24"/>
        </w:rPr>
        <w:t>”</w:t>
      </w:r>
    </w:p>
    <w:p w14:paraId="399D7072" w14:textId="77777777" w:rsidR="003706B1" w:rsidRDefault="003706B1" w:rsidP="00093D0E">
      <w:pPr>
        <w:rPr>
          <w:rFonts w:cs="Times New Roman"/>
          <w:sz w:val="24"/>
          <w:szCs w:val="24"/>
        </w:rPr>
      </w:pPr>
      <w:r w:rsidRPr="003706B1">
        <w:rPr>
          <w:rFonts w:cs="Times New Roman"/>
          <w:sz w:val="24"/>
          <w:szCs w:val="24"/>
        </w:rPr>
        <w:t>Table S 1 The grey relational degree of WSOC and AFI between six particle sizes.</w:t>
      </w:r>
    </w:p>
    <w:tbl>
      <w:tblPr>
        <w:tblW w:w="5000" w:type="pct"/>
        <w:tblLook w:val="04A0" w:firstRow="1" w:lastRow="0" w:firstColumn="1" w:lastColumn="0" w:noHBand="0" w:noVBand="1"/>
      </w:tblPr>
      <w:tblGrid>
        <w:gridCol w:w="994"/>
        <w:gridCol w:w="916"/>
        <w:gridCol w:w="935"/>
        <w:gridCol w:w="1007"/>
        <w:gridCol w:w="935"/>
        <w:gridCol w:w="1176"/>
        <w:gridCol w:w="1174"/>
        <w:gridCol w:w="1169"/>
      </w:tblGrid>
      <w:tr w:rsidR="003706B1" w:rsidRPr="003706B1" w14:paraId="3A93AB64" w14:textId="77777777" w:rsidTr="00AA6146">
        <w:trPr>
          <w:trHeight w:val="276"/>
        </w:trPr>
        <w:tc>
          <w:tcPr>
            <w:tcW w:w="598" w:type="pct"/>
            <w:tcBorders>
              <w:top w:val="single" w:sz="4" w:space="0" w:color="auto"/>
              <w:left w:val="nil"/>
              <w:bottom w:val="nil"/>
              <w:right w:val="nil"/>
            </w:tcBorders>
            <w:shd w:val="clear" w:color="auto" w:fill="auto"/>
            <w:noWrap/>
            <w:tcMar>
              <w:left w:w="0" w:type="dxa"/>
              <w:right w:w="0" w:type="dxa"/>
            </w:tcMar>
            <w:vAlign w:val="bottom"/>
            <w:hideMark/>
          </w:tcPr>
          <w:p w14:paraId="67EFA88B" w14:textId="77777777" w:rsidR="003706B1" w:rsidRPr="003706B1" w:rsidRDefault="003706B1" w:rsidP="003706B1">
            <w:pPr>
              <w:widowControl/>
              <w:rPr>
                <w:rFonts w:eastAsia="等线" w:cs="Times New Roman"/>
                <w:kern w:val="0"/>
                <w:szCs w:val="21"/>
              </w:rPr>
            </w:pPr>
          </w:p>
        </w:tc>
        <w:tc>
          <w:tcPr>
            <w:tcW w:w="551" w:type="pct"/>
            <w:tcBorders>
              <w:top w:val="single" w:sz="4" w:space="0" w:color="auto"/>
              <w:left w:val="nil"/>
              <w:bottom w:val="nil"/>
              <w:right w:val="nil"/>
            </w:tcBorders>
            <w:shd w:val="clear" w:color="auto" w:fill="auto"/>
            <w:noWrap/>
            <w:tcMar>
              <w:left w:w="0" w:type="dxa"/>
              <w:right w:w="0" w:type="dxa"/>
            </w:tcMar>
            <w:vAlign w:val="bottom"/>
            <w:hideMark/>
          </w:tcPr>
          <w:p w14:paraId="7021C23F" w14:textId="77777777" w:rsidR="003706B1" w:rsidRPr="003706B1" w:rsidRDefault="003706B1" w:rsidP="003706B1">
            <w:pPr>
              <w:widowControl/>
              <w:rPr>
                <w:rFonts w:eastAsia="等线" w:cs="Times New Roman"/>
                <w:kern w:val="0"/>
                <w:szCs w:val="21"/>
              </w:rPr>
            </w:pPr>
          </w:p>
        </w:tc>
        <w:tc>
          <w:tcPr>
            <w:tcW w:w="1732" w:type="pct"/>
            <w:gridSpan w:val="3"/>
            <w:tcBorders>
              <w:top w:val="single" w:sz="4" w:space="0" w:color="auto"/>
              <w:left w:val="nil"/>
              <w:bottom w:val="nil"/>
              <w:right w:val="nil"/>
            </w:tcBorders>
            <w:shd w:val="clear" w:color="auto" w:fill="auto"/>
            <w:noWrap/>
            <w:tcMar>
              <w:left w:w="0" w:type="dxa"/>
              <w:right w:w="0" w:type="dxa"/>
            </w:tcMar>
            <w:vAlign w:val="bottom"/>
            <w:hideMark/>
          </w:tcPr>
          <w:p w14:paraId="5A25DE5A"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Pearson correlation</w:t>
            </w:r>
          </w:p>
        </w:tc>
        <w:tc>
          <w:tcPr>
            <w:tcW w:w="2120" w:type="pct"/>
            <w:gridSpan w:val="3"/>
            <w:tcBorders>
              <w:top w:val="single" w:sz="4" w:space="0" w:color="auto"/>
              <w:left w:val="nil"/>
              <w:bottom w:val="nil"/>
              <w:right w:val="nil"/>
            </w:tcBorders>
            <w:shd w:val="clear" w:color="auto" w:fill="auto"/>
            <w:noWrap/>
            <w:tcMar>
              <w:left w:w="0" w:type="dxa"/>
              <w:right w:w="0" w:type="dxa"/>
            </w:tcMar>
            <w:vAlign w:val="bottom"/>
            <w:hideMark/>
          </w:tcPr>
          <w:p w14:paraId="79CFF916"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Grey relational analysis</w:t>
            </w:r>
          </w:p>
        </w:tc>
      </w:tr>
      <w:tr w:rsidR="003706B1" w:rsidRPr="003706B1" w14:paraId="14C5EBC0" w14:textId="77777777" w:rsidTr="00AA6146">
        <w:trPr>
          <w:trHeight w:val="276"/>
        </w:trPr>
        <w:tc>
          <w:tcPr>
            <w:tcW w:w="598" w:type="pct"/>
            <w:tcBorders>
              <w:top w:val="nil"/>
              <w:left w:val="nil"/>
              <w:bottom w:val="single" w:sz="4" w:space="0" w:color="auto"/>
              <w:right w:val="nil"/>
            </w:tcBorders>
            <w:shd w:val="clear" w:color="auto" w:fill="auto"/>
            <w:noWrap/>
            <w:tcMar>
              <w:left w:w="0" w:type="dxa"/>
              <w:right w:w="0" w:type="dxa"/>
            </w:tcMar>
            <w:vAlign w:val="bottom"/>
            <w:hideMark/>
          </w:tcPr>
          <w:p w14:paraId="4E22F278" w14:textId="77777777" w:rsidR="003706B1" w:rsidRPr="003706B1" w:rsidRDefault="003706B1" w:rsidP="003706B1">
            <w:pPr>
              <w:widowControl/>
              <w:rPr>
                <w:rFonts w:eastAsia="等线" w:cs="Times New Roman"/>
                <w:kern w:val="0"/>
                <w:szCs w:val="21"/>
              </w:rPr>
            </w:pPr>
          </w:p>
        </w:tc>
        <w:tc>
          <w:tcPr>
            <w:tcW w:w="551" w:type="pct"/>
            <w:tcBorders>
              <w:top w:val="nil"/>
              <w:left w:val="nil"/>
              <w:bottom w:val="single" w:sz="4" w:space="0" w:color="auto"/>
              <w:right w:val="nil"/>
            </w:tcBorders>
            <w:shd w:val="clear" w:color="auto" w:fill="auto"/>
            <w:noWrap/>
            <w:tcMar>
              <w:left w:w="0" w:type="dxa"/>
              <w:right w:w="0" w:type="dxa"/>
            </w:tcMar>
            <w:vAlign w:val="bottom"/>
            <w:hideMark/>
          </w:tcPr>
          <w:p w14:paraId="2DBCC8F3"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µm</w:t>
            </w:r>
          </w:p>
        </w:tc>
        <w:tc>
          <w:tcPr>
            <w:tcW w:w="563" w:type="pct"/>
            <w:tcBorders>
              <w:top w:val="nil"/>
              <w:left w:val="nil"/>
              <w:bottom w:val="single" w:sz="4" w:space="0" w:color="auto"/>
              <w:right w:val="nil"/>
            </w:tcBorders>
            <w:shd w:val="clear" w:color="auto" w:fill="auto"/>
            <w:noWrap/>
            <w:tcMar>
              <w:left w:w="0" w:type="dxa"/>
              <w:right w:w="0" w:type="dxa"/>
            </w:tcMar>
            <w:vAlign w:val="bottom"/>
            <w:hideMark/>
          </w:tcPr>
          <w:p w14:paraId="3E75E692"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a</w:t>
            </w:r>
          </w:p>
        </w:tc>
        <w:tc>
          <w:tcPr>
            <w:tcW w:w="606" w:type="pct"/>
            <w:tcBorders>
              <w:top w:val="nil"/>
              <w:left w:val="nil"/>
              <w:bottom w:val="single" w:sz="4" w:space="0" w:color="auto"/>
              <w:right w:val="nil"/>
            </w:tcBorders>
            <w:shd w:val="clear" w:color="auto" w:fill="auto"/>
            <w:noWrap/>
            <w:tcMar>
              <w:left w:w="0" w:type="dxa"/>
              <w:right w:w="0" w:type="dxa"/>
            </w:tcMar>
            <w:vAlign w:val="bottom"/>
          </w:tcPr>
          <w:p w14:paraId="4C1B5624"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b</w:t>
            </w:r>
          </w:p>
        </w:tc>
        <w:tc>
          <w:tcPr>
            <w:tcW w:w="563" w:type="pct"/>
            <w:tcBorders>
              <w:top w:val="nil"/>
              <w:left w:val="nil"/>
              <w:bottom w:val="single" w:sz="4" w:space="0" w:color="auto"/>
              <w:right w:val="nil"/>
            </w:tcBorders>
            <w:shd w:val="clear" w:color="auto" w:fill="auto"/>
            <w:noWrap/>
            <w:tcMar>
              <w:left w:w="0" w:type="dxa"/>
              <w:right w:w="0" w:type="dxa"/>
            </w:tcMar>
            <w:vAlign w:val="bottom"/>
          </w:tcPr>
          <w:p w14:paraId="4FC47A85"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c</w:t>
            </w:r>
          </w:p>
        </w:tc>
        <w:tc>
          <w:tcPr>
            <w:tcW w:w="708" w:type="pct"/>
            <w:tcBorders>
              <w:top w:val="nil"/>
              <w:left w:val="nil"/>
              <w:bottom w:val="single" w:sz="4" w:space="0" w:color="auto"/>
              <w:right w:val="nil"/>
            </w:tcBorders>
            <w:shd w:val="clear" w:color="auto" w:fill="auto"/>
            <w:noWrap/>
            <w:tcMar>
              <w:left w:w="0" w:type="dxa"/>
              <w:right w:w="0" w:type="dxa"/>
            </w:tcMar>
            <w:vAlign w:val="bottom"/>
          </w:tcPr>
          <w:p w14:paraId="3F9D192F"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a</w:t>
            </w:r>
          </w:p>
        </w:tc>
        <w:tc>
          <w:tcPr>
            <w:tcW w:w="707" w:type="pct"/>
            <w:tcBorders>
              <w:top w:val="nil"/>
              <w:left w:val="nil"/>
              <w:bottom w:val="single" w:sz="4" w:space="0" w:color="auto"/>
              <w:right w:val="nil"/>
            </w:tcBorders>
            <w:shd w:val="clear" w:color="auto" w:fill="auto"/>
            <w:noWrap/>
            <w:tcMar>
              <w:left w:w="0" w:type="dxa"/>
              <w:right w:w="0" w:type="dxa"/>
            </w:tcMar>
            <w:vAlign w:val="bottom"/>
          </w:tcPr>
          <w:p w14:paraId="08DBE3E3"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b</w:t>
            </w:r>
          </w:p>
        </w:tc>
        <w:tc>
          <w:tcPr>
            <w:tcW w:w="705" w:type="pct"/>
            <w:tcBorders>
              <w:top w:val="nil"/>
              <w:left w:val="nil"/>
              <w:bottom w:val="single" w:sz="4" w:space="0" w:color="auto"/>
              <w:right w:val="nil"/>
            </w:tcBorders>
            <w:shd w:val="clear" w:color="auto" w:fill="auto"/>
            <w:noWrap/>
            <w:tcMar>
              <w:left w:w="0" w:type="dxa"/>
              <w:right w:w="0" w:type="dxa"/>
            </w:tcMar>
            <w:vAlign w:val="bottom"/>
          </w:tcPr>
          <w:p w14:paraId="76C23DB3"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c</w:t>
            </w:r>
          </w:p>
        </w:tc>
      </w:tr>
      <w:tr w:rsidR="003706B1" w:rsidRPr="003706B1" w14:paraId="4DCFB2B1" w14:textId="77777777" w:rsidTr="00AA6146">
        <w:trPr>
          <w:trHeight w:val="276"/>
        </w:trPr>
        <w:tc>
          <w:tcPr>
            <w:tcW w:w="598" w:type="pct"/>
            <w:tcBorders>
              <w:top w:val="nil"/>
              <w:left w:val="nil"/>
              <w:bottom w:val="nil"/>
              <w:right w:val="nil"/>
            </w:tcBorders>
            <w:shd w:val="clear" w:color="auto" w:fill="auto"/>
            <w:noWrap/>
            <w:tcMar>
              <w:left w:w="0" w:type="dxa"/>
              <w:right w:w="0" w:type="dxa"/>
            </w:tcMar>
            <w:vAlign w:val="bottom"/>
            <w:hideMark/>
          </w:tcPr>
          <w:p w14:paraId="07F1D1A3"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Winter</w:t>
            </w:r>
          </w:p>
        </w:tc>
        <w:tc>
          <w:tcPr>
            <w:tcW w:w="551" w:type="pct"/>
            <w:tcBorders>
              <w:top w:val="nil"/>
              <w:left w:val="nil"/>
              <w:bottom w:val="nil"/>
              <w:right w:val="nil"/>
            </w:tcBorders>
            <w:shd w:val="clear" w:color="auto" w:fill="auto"/>
            <w:noWrap/>
            <w:tcMar>
              <w:left w:w="0" w:type="dxa"/>
              <w:right w:w="0" w:type="dxa"/>
            </w:tcMar>
            <w:vAlign w:val="bottom"/>
            <w:hideMark/>
          </w:tcPr>
          <w:p w14:paraId="6304061F"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0.26</w:t>
            </w:r>
          </w:p>
        </w:tc>
        <w:tc>
          <w:tcPr>
            <w:tcW w:w="563" w:type="pct"/>
            <w:tcBorders>
              <w:top w:val="nil"/>
              <w:left w:val="nil"/>
              <w:bottom w:val="nil"/>
              <w:right w:val="nil"/>
            </w:tcBorders>
            <w:shd w:val="clear" w:color="auto" w:fill="auto"/>
            <w:noWrap/>
            <w:tcMar>
              <w:left w:w="0" w:type="dxa"/>
              <w:right w:w="0" w:type="dxa"/>
            </w:tcMar>
            <w:hideMark/>
          </w:tcPr>
          <w:p w14:paraId="2C6BBE09"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1</w:t>
            </w:r>
          </w:p>
        </w:tc>
        <w:tc>
          <w:tcPr>
            <w:tcW w:w="606" w:type="pct"/>
            <w:tcBorders>
              <w:top w:val="nil"/>
              <w:left w:val="nil"/>
              <w:bottom w:val="nil"/>
              <w:right w:val="nil"/>
            </w:tcBorders>
            <w:shd w:val="clear" w:color="auto" w:fill="auto"/>
            <w:noWrap/>
            <w:tcMar>
              <w:left w:w="0" w:type="dxa"/>
              <w:right w:w="0" w:type="dxa"/>
            </w:tcMar>
            <w:hideMark/>
          </w:tcPr>
          <w:p w14:paraId="3C6632E4"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1</w:t>
            </w:r>
          </w:p>
        </w:tc>
        <w:tc>
          <w:tcPr>
            <w:tcW w:w="563" w:type="pct"/>
            <w:tcBorders>
              <w:top w:val="nil"/>
              <w:left w:val="nil"/>
              <w:bottom w:val="nil"/>
              <w:right w:val="nil"/>
            </w:tcBorders>
            <w:shd w:val="clear" w:color="auto" w:fill="auto"/>
            <w:noWrap/>
            <w:tcMar>
              <w:left w:w="0" w:type="dxa"/>
              <w:right w:w="0" w:type="dxa"/>
            </w:tcMar>
            <w:hideMark/>
          </w:tcPr>
          <w:p w14:paraId="37BB2394"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0.129</w:t>
            </w:r>
          </w:p>
        </w:tc>
        <w:tc>
          <w:tcPr>
            <w:tcW w:w="708" w:type="pct"/>
            <w:tcBorders>
              <w:top w:val="nil"/>
              <w:left w:val="nil"/>
              <w:bottom w:val="nil"/>
              <w:right w:val="nil"/>
            </w:tcBorders>
            <w:shd w:val="clear" w:color="auto" w:fill="auto"/>
            <w:noWrap/>
            <w:tcMar>
              <w:left w:w="0" w:type="dxa"/>
              <w:right w:w="0" w:type="dxa"/>
            </w:tcMar>
            <w:vAlign w:val="bottom"/>
            <w:hideMark/>
          </w:tcPr>
          <w:p w14:paraId="2150BAEF"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1.000</w:t>
            </w:r>
          </w:p>
        </w:tc>
        <w:tc>
          <w:tcPr>
            <w:tcW w:w="707" w:type="pct"/>
            <w:tcBorders>
              <w:top w:val="nil"/>
              <w:left w:val="nil"/>
              <w:bottom w:val="nil"/>
              <w:right w:val="nil"/>
            </w:tcBorders>
            <w:shd w:val="clear" w:color="auto" w:fill="auto"/>
            <w:noWrap/>
            <w:tcMar>
              <w:left w:w="0" w:type="dxa"/>
              <w:right w:w="0" w:type="dxa"/>
            </w:tcMar>
            <w:vAlign w:val="bottom"/>
            <w:hideMark/>
          </w:tcPr>
          <w:p w14:paraId="31203852"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1.000</w:t>
            </w:r>
          </w:p>
        </w:tc>
        <w:tc>
          <w:tcPr>
            <w:tcW w:w="705" w:type="pct"/>
            <w:tcBorders>
              <w:top w:val="nil"/>
              <w:left w:val="nil"/>
              <w:bottom w:val="nil"/>
              <w:right w:val="nil"/>
            </w:tcBorders>
            <w:shd w:val="clear" w:color="auto" w:fill="auto"/>
            <w:noWrap/>
            <w:tcMar>
              <w:left w:w="0" w:type="dxa"/>
              <w:right w:w="0" w:type="dxa"/>
            </w:tcMar>
            <w:vAlign w:val="bottom"/>
            <w:hideMark/>
          </w:tcPr>
          <w:p w14:paraId="3C1D5EEE"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0.950</w:t>
            </w:r>
          </w:p>
        </w:tc>
      </w:tr>
      <w:tr w:rsidR="003706B1" w:rsidRPr="003706B1" w14:paraId="4E5ED7C5" w14:textId="77777777" w:rsidTr="00AA6146">
        <w:trPr>
          <w:trHeight w:val="336"/>
        </w:trPr>
        <w:tc>
          <w:tcPr>
            <w:tcW w:w="598" w:type="pct"/>
            <w:tcBorders>
              <w:top w:val="nil"/>
              <w:left w:val="nil"/>
              <w:bottom w:val="nil"/>
              <w:right w:val="nil"/>
            </w:tcBorders>
            <w:shd w:val="clear" w:color="auto" w:fill="auto"/>
            <w:noWrap/>
            <w:tcMar>
              <w:left w:w="0" w:type="dxa"/>
              <w:right w:w="0" w:type="dxa"/>
            </w:tcMar>
            <w:vAlign w:val="bottom"/>
            <w:hideMark/>
          </w:tcPr>
          <w:p w14:paraId="34070F29" w14:textId="77777777" w:rsidR="003706B1" w:rsidRPr="003706B1" w:rsidRDefault="003706B1" w:rsidP="003706B1">
            <w:pPr>
              <w:widowControl/>
              <w:rPr>
                <w:rFonts w:eastAsia="等线" w:cs="Times New Roman"/>
                <w:kern w:val="0"/>
                <w:szCs w:val="21"/>
              </w:rPr>
            </w:pPr>
          </w:p>
        </w:tc>
        <w:tc>
          <w:tcPr>
            <w:tcW w:w="551" w:type="pct"/>
            <w:tcBorders>
              <w:top w:val="nil"/>
              <w:left w:val="nil"/>
              <w:bottom w:val="nil"/>
              <w:right w:val="nil"/>
            </w:tcBorders>
            <w:shd w:val="clear" w:color="auto" w:fill="auto"/>
            <w:noWrap/>
            <w:tcMar>
              <w:left w:w="0" w:type="dxa"/>
              <w:right w:w="0" w:type="dxa"/>
            </w:tcMar>
            <w:vAlign w:val="bottom"/>
            <w:hideMark/>
          </w:tcPr>
          <w:p w14:paraId="0DDD7017"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0.44</w:t>
            </w:r>
          </w:p>
        </w:tc>
        <w:tc>
          <w:tcPr>
            <w:tcW w:w="563" w:type="pct"/>
            <w:tcBorders>
              <w:top w:val="nil"/>
              <w:left w:val="nil"/>
              <w:bottom w:val="nil"/>
              <w:right w:val="nil"/>
            </w:tcBorders>
            <w:shd w:val="clear" w:color="auto" w:fill="auto"/>
            <w:noWrap/>
            <w:tcMar>
              <w:left w:w="0" w:type="dxa"/>
              <w:right w:w="0" w:type="dxa"/>
            </w:tcMar>
            <w:hideMark/>
          </w:tcPr>
          <w:p w14:paraId="0321CDD1"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0.947</w:t>
            </w:r>
            <w:r w:rsidRPr="003706B1">
              <w:rPr>
                <w:rFonts w:eastAsia="等线" w:cs="Times New Roman"/>
                <w:kern w:val="0"/>
                <w:szCs w:val="21"/>
                <w:vertAlign w:val="superscript"/>
              </w:rPr>
              <w:t>**</w:t>
            </w:r>
          </w:p>
        </w:tc>
        <w:tc>
          <w:tcPr>
            <w:tcW w:w="606" w:type="pct"/>
            <w:tcBorders>
              <w:top w:val="nil"/>
              <w:left w:val="nil"/>
              <w:bottom w:val="nil"/>
              <w:right w:val="nil"/>
            </w:tcBorders>
            <w:shd w:val="clear" w:color="auto" w:fill="auto"/>
            <w:noWrap/>
            <w:tcMar>
              <w:left w:w="0" w:type="dxa"/>
              <w:right w:w="0" w:type="dxa"/>
            </w:tcMar>
            <w:hideMark/>
          </w:tcPr>
          <w:p w14:paraId="42E18BE4"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0.429</w:t>
            </w:r>
          </w:p>
        </w:tc>
        <w:tc>
          <w:tcPr>
            <w:tcW w:w="563" w:type="pct"/>
            <w:tcBorders>
              <w:top w:val="nil"/>
              <w:left w:val="nil"/>
              <w:bottom w:val="nil"/>
              <w:right w:val="nil"/>
            </w:tcBorders>
            <w:shd w:val="clear" w:color="auto" w:fill="auto"/>
            <w:noWrap/>
            <w:tcMar>
              <w:left w:w="0" w:type="dxa"/>
              <w:right w:w="0" w:type="dxa"/>
            </w:tcMar>
            <w:hideMark/>
          </w:tcPr>
          <w:p w14:paraId="61C06FD0"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0.020</w:t>
            </w:r>
          </w:p>
        </w:tc>
        <w:tc>
          <w:tcPr>
            <w:tcW w:w="708" w:type="pct"/>
            <w:tcBorders>
              <w:top w:val="nil"/>
              <w:left w:val="nil"/>
              <w:bottom w:val="nil"/>
              <w:right w:val="nil"/>
            </w:tcBorders>
            <w:shd w:val="clear" w:color="auto" w:fill="auto"/>
            <w:noWrap/>
            <w:tcMar>
              <w:left w:w="0" w:type="dxa"/>
              <w:right w:w="0" w:type="dxa"/>
            </w:tcMar>
            <w:vAlign w:val="bottom"/>
            <w:hideMark/>
          </w:tcPr>
          <w:p w14:paraId="2E8E6212"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0.883</w:t>
            </w:r>
          </w:p>
        </w:tc>
        <w:tc>
          <w:tcPr>
            <w:tcW w:w="707" w:type="pct"/>
            <w:tcBorders>
              <w:top w:val="nil"/>
              <w:left w:val="nil"/>
              <w:bottom w:val="nil"/>
              <w:right w:val="nil"/>
            </w:tcBorders>
            <w:shd w:val="clear" w:color="auto" w:fill="auto"/>
            <w:noWrap/>
            <w:tcMar>
              <w:left w:w="0" w:type="dxa"/>
              <w:right w:w="0" w:type="dxa"/>
            </w:tcMar>
            <w:vAlign w:val="bottom"/>
            <w:hideMark/>
          </w:tcPr>
          <w:p w14:paraId="27550869"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0.824</w:t>
            </w:r>
          </w:p>
        </w:tc>
        <w:tc>
          <w:tcPr>
            <w:tcW w:w="705" w:type="pct"/>
            <w:tcBorders>
              <w:top w:val="nil"/>
              <w:left w:val="nil"/>
              <w:bottom w:val="nil"/>
              <w:right w:val="nil"/>
            </w:tcBorders>
            <w:shd w:val="clear" w:color="auto" w:fill="auto"/>
            <w:noWrap/>
            <w:tcMar>
              <w:left w:w="0" w:type="dxa"/>
              <w:right w:w="0" w:type="dxa"/>
            </w:tcMar>
            <w:vAlign w:val="bottom"/>
            <w:hideMark/>
          </w:tcPr>
          <w:p w14:paraId="04305CA5"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0.871</w:t>
            </w:r>
          </w:p>
        </w:tc>
      </w:tr>
      <w:tr w:rsidR="003706B1" w:rsidRPr="003706B1" w14:paraId="697B7389" w14:textId="77777777" w:rsidTr="00AA6146">
        <w:trPr>
          <w:trHeight w:val="336"/>
        </w:trPr>
        <w:tc>
          <w:tcPr>
            <w:tcW w:w="598" w:type="pct"/>
            <w:tcBorders>
              <w:top w:val="nil"/>
              <w:left w:val="nil"/>
              <w:bottom w:val="nil"/>
              <w:right w:val="nil"/>
            </w:tcBorders>
            <w:shd w:val="clear" w:color="auto" w:fill="auto"/>
            <w:noWrap/>
            <w:tcMar>
              <w:left w:w="0" w:type="dxa"/>
              <w:right w:w="0" w:type="dxa"/>
            </w:tcMar>
            <w:vAlign w:val="bottom"/>
            <w:hideMark/>
          </w:tcPr>
          <w:p w14:paraId="27887264" w14:textId="77777777" w:rsidR="003706B1" w:rsidRPr="003706B1" w:rsidRDefault="003706B1" w:rsidP="003706B1">
            <w:pPr>
              <w:widowControl/>
              <w:rPr>
                <w:rFonts w:eastAsia="等线" w:cs="Times New Roman"/>
                <w:kern w:val="0"/>
                <w:szCs w:val="21"/>
              </w:rPr>
            </w:pPr>
          </w:p>
        </w:tc>
        <w:tc>
          <w:tcPr>
            <w:tcW w:w="551" w:type="pct"/>
            <w:tcBorders>
              <w:top w:val="nil"/>
              <w:left w:val="nil"/>
              <w:bottom w:val="nil"/>
              <w:right w:val="nil"/>
            </w:tcBorders>
            <w:shd w:val="clear" w:color="auto" w:fill="auto"/>
            <w:noWrap/>
            <w:tcMar>
              <w:left w:w="0" w:type="dxa"/>
              <w:right w:w="0" w:type="dxa"/>
            </w:tcMar>
            <w:vAlign w:val="bottom"/>
            <w:hideMark/>
          </w:tcPr>
          <w:p w14:paraId="3899274B"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0.77</w:t>
            </w:r>
          </w:p>
        </w:tc>
        <w:tc>
          <w:tcPr>
            <w:tcW w:w="563" w:type="pct"/>
            <w:tcBorders>
              <w:top w:val="nil"/>
              <w:left w:val="nil"/>
              <w:bottom w:val="nil"/>
              <w:right w:val="nil"/>
            </w:tcBorders>
            <w:shd w:val="clear" w:color="auto" w:fill="auto"/>
            <w:noWrap/>
            <w:tcMar>
              <w:left w:w="0" w:type="dxa"/>
              <w:right w:w="0" w:type="dxa"/>
            </w:tcMar>
            <w:hideMark/>
          </w:tcPr>
          <w:p w14:paraId="66852E3A"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0.787</w:t>
            </w:r>
            <w:r w:rsidRPr="003706B1">
              <w:rPr>
                <w:rFonts w:eastAsia="等线" w:cs="Times New Roman"/>
                <w:kern w:val="0"/>
                <w:szCs w:val="21"/>
                <w:vertAlign w:val="superscript"/>
              </w:rPr>
              <w:t>**</w:t>
            </w:r>
          </w:p>
        </w:tc>
        <w:tc>
          <w:tcPr>
            <w:tcW w:w="606" w:type="pct"/>
            <w:tcBorders>
              <w:top w:val="nil"/>
              <w:left w:val="nil"/>
              <w:bottom w:val="nil"/>
              <w:right w:val="nil"/>
            </w:tcBorders>
            <w:shd w:val="clear" w:color="auto" w:fill="auto"/>
            <w:noWrap/>
            <w:tcMar>
              <w:left w:w="0" w:type="dxa"/>
              <w:right w:w="0" w:type="dxa"/>
            </w:tcMar>
            <w:hideMark/>
          </w:tcPr>
          <w:p w14:paraId="1E4B59F0"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0.724</w:t>
            </w:r>
            <w:r w:rsidRPr="003706B1">
              <w:rPr>
                <w:rFonts w:eastAsia="等线" w:cs="Times New Roman"/>
                <w:kern w:val="0"/>
                <w:szCs w:val="21"/>
                <w:vertAlign w:val="superscript"/>
              </w:rPr>
              <w:t>**</w:t>
            </w:r>
          </w:p>
        </w:tc>
        <w:tc>
          <w:tcPr>
            <w:tcW w:w="563" w:type="pct"/>
            <w:tcBorders>
              <w:top w:val="nil"/>
              <w:left w:val="nil"/>
              <w:bottom w:val="nil"/>
              <w:right w:val="nil"/>
            </w:tcBorders>
            <w:shd w:val="clear" w:color="auto" w:fill="auto"/>
            <w:noWrap/>
            <w:tcMar>
              <w:left w:w="0" w:type="dxa"/>
              <w:right w:w="0" w:type="dxa"/>
            </w:tcMar>
            <w:hideMark/>
          </w:tcPr>
          <w:p w14:paraId="4BC6111F"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0.335</w:t>
            </w:r>
          </w:p>
        </w:tc>
        <w:tc>
          <w:tcPr>
            <w:tcW w:w="708" w:type="pct"/>
            <w:tcBorders>
              <w:top w:val="nil"/>
              <w:left w:val="nil"/>
              <w:bottom w:val="nil"/>
              <w:right w:val="nil"/>
            </w:tcBorders>
            <w:shd w:val="clear" w:color="auto" w:fill="auto"/>
            <w:noWrap/>
            <w:tcMar>
              <w:left w:w="0" w:type="dxa"/>
              <w:right w:w="0" w:type="dxa"/>
            </w:tcMar>
            <w:vAlign w:val="bottom"/>
            <w:hideMark/>
          </w:tcPr>
          <w:p w14:paraId="088BB04D"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0.833</w:t>
            </w:r>
          </w:p>
        </w:tc>
        <w:tc>
          <w:tcPr>
            <w:tcW w:w="707" w:type="pct"/>
            <w:tcBorders>
              <w:top w:val="nil"/>
              <w:left w:val="nil"/>
              <w:bottom w:val="nil"/>
              <w:right w:val="nil"/>
            </w:tcBorders>
            <w:shd w:val="clear" w:color="auto" w:fill="auto"/>
            <w:noWrap/>
            <w:tcMar>
              <w:left w:w="0" w:type="dxa"/>
              <w:right w:w="0" w:type="dxa"/>
            </w:tcMar>
            <w:vAlign w:val="bottom"/>
            <w:hideMark/>
          </w:tcPr>
          <w:p w14:paraId="71F72BDF"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0.879</w:t>
            </w:r>
          </w:p>
        </w:tc>
        <w:tc>
          <w:tcPr>
            <w:tcW w:w="705" w:type="pct"/>
            <w:tcBorders>
              <w:top w:val="nil"/>
              <w:left w:val="nil"/>
              <w:bottom w:val="nil"/>
              <w:right w:val="nil"/>
            </w:tcBorders>
            <w:shd w:val="clear" w:color="auto" w:fill="auto"/>
            <w:noWrap/>
            <w:tcMar>
              <w:left w:w="0" w:type="dxa"/>
              <w:right w:w="0" w:type="dxa"/>
            </w:tcMar>
            <w:vAlign w:val="bottom"/>
            <w:hideMark/>
          </w:tcPr>
          <w:p w14:paraId="325B092B"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0.933</w:t>
            </w:r>
          </w:p>
        </w:tc>
      </w:tr>
      <w:tr w:rsidR="003706B1" w:rsidRPr="003706B1" w14:paraId="4F619EC9" w14:textId="77777777" w:rsidTr="00AA6146">
        <w:trPr>
          <w:trHeight w:val="336"/>
        </w:trPr>
        <w:tc>
          <w:tcPr>
            <w:tcW w:w="598" w:type="pct"/>
            <w:tcBorders>
              <w:top w:val="nil"/>
              <w:left w:val="nil"/>
              <w:bottom w:val="nil"/>
              <w:right w:val="nil"/>
            </w:tcBorders>
            <w:shd w:val="clear" w:color="auto" w:fill="auto"/>
            <w:noWrap/>
            <w:tcMar>
              <w:left w:w="0" w:type="dxa"/>
              <w:right w:w="0" w:type="dxa"/>
            </w:tcMar>
            <w:vAlign w:val="bottom"/>
            <w:hideMark/>
          </w:tcPr>
          <w:p w14:paraId="400C4276" w14:textId="77777777" w:rsidR="003706B1" w:rsidRPr="003706B1" w:rsidRDefault="003706B1" w:rsidP="003706B1">
            <w:pPr>
              <w:widowControl/>
              <w:rPr>
                <w:rFonts w:eastAsia="等线" w:cs="Times New Roman"/>
                <w:kern w:val="0"/>
                <w:szCs w:val="21"/>
              </w:rPr>
            </w:pPr>
          </w:p>
        </w:tc>
        <w:tc>
          <w:tcPr>
            <w:tcW w:w="551" w:type="pct"/>
            <w:tcBorders>
              <w:top w:val="nil"/>
              <w:left w:val="nil"/>
              <w:bottom w:val="nil"/>
              <w:right w:val="nil"/>
            </w:tcBorders>
            <w:shd w:val="clear" w:color="auto" w:fill="auto"/>
            <w:noWrap/>
            <w:tcMar>
              <w:left w:w="0" w:type="dxa"/>
              <w:right w:w="0" w:type="dxa"/>
            </w:tcMar>
            <w:vAlign w:val="bottom"/>
            <w:hideMark/>
          </w:tcPr>
          <w:p w14:paraId="315E6DBA"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1.4</w:t>
            </w:r>
          </w:p>
        </w:tc>
        <w:tc>
          <w:tcPr>
            <w:tcW w:w="563" w:type="pct"/>
            <w:tcBorders>
              <w:top w:val="nil"/>
              <w:left w:val="nil"/>
              <w:bottom w:val="nil"/>
              <w:right w:val="nil"/>
            </w:tcBorders>
            <w:shd w:val="clear" w:color="auto" w:fill="auto"/>
            <w:noWrap/>
            <w:tcMar>
              <w:left w:w="0" w:type="dxa"/>
              <w:right w:w="0" w:type="dxa"/>
            </w:tcMar>
            <w:hideMark/>
          </w:tcPr>
          <w:p w14:paraId="0EA44FA4"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0.591</w:t>
            </w:r>
            <w:r w:rsidRPr="003706B1">
              <w:rPr>
                <w:rFonts w:eastAsia="等线" w:cs="Times New Roman"/>
                <w:kern w:val="0"/>
                <w:szCs w:val="21"/>
                <w:vertAlign w:val="superscript"/>
              </w:rPr>
              <w:t>*</w:t>
            </w:r>
          </w:p>
        </w:tc>
        <w:tc>
          <w:tcPr>
            <w:tcW w:w="606" w:type="pct"/>
            <w:tcBorders>
              <w:top w:val="nil"/>
              <w:left w:val="nil"/>
              <w:bottom w:val="nil"/>
              <w:right w:val="nil"/>
            </w:tcBorders>
            <w:shd w:val="clear" w:color="auto" w:fill="auto"/>
            <w:noWrap/>
            <w:tcMar>
              <w:left w:w="0" w:type="dxa"/>
              <w:right w:w="0" w:type="dxa"/>
            </w:tcMar>
            <w:hideMark/>
          </w:tcPr>
          <w:p w14:paraId="508FFC9A"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0.399</w:t>
            </w:r>
          </w:p>
        </w:tc>
        <w:tc>
          <w:tcPr>
            <w:tcW w:w="563" w:type="pct"/>
            <w:tcBorders>
              <w:top w:val="nil"/>
              <w:left w:val="nil"/>
              <w:bottom w:val="nil"/>
              <w:right w:val="nil"/>
            </w:tcBorders>
            <w:shd w:val="clear" w:color="auto" w:fill="auto"/>
            <w:noWrap/>
            <w:tcMar>
              <w:left w:w="0" w:type="dxa"/>
              <w:right w:w="0" w:type="dxa"/>
            </w:tcMar>
            <w:hideMark/>
          </w:tcPr>
          <w:p w14:paraId="3EDA785C"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0.596</w:t>
            </w:r>
            <w:r w:rsidRPr="003706B1">
              <w:rPr>
                <w:rFonts w:eastAsia="等线" w:cs="Times New Roman"/>
                <w:kern w:val="0"/>
                <w:szCs w:val="21"/>
                <w:vertAlign w:val="superscript"/>
              </w:rPr>
              <w:t>*</w:t>
            </w:r>
          </w:p>
        </w:tc>
        <w:tc>
          <w:tcPr>
            <w:tcW w:w="708" w:type="pct"/>
            <w:tcBorders>
              <w:top w:val="nil"/>
              <w:left w:val="nil"/>
              <w:bottom w:val="nil"/>
              <w:right w:val="nil"/>
            </w:tcBorders>
            <w:shd w:val="clear" w:color="auto" w:fill="auto"/>
            <w:noWrap/>
            <w:tcMar>
              <w:left w:w="0" w:type="dxa"/>
              <w:right w:w="0" w:type="dxa"/>
            </w:tcMar>
            <w:vAlign w:val="bottom"/>
            <w:hideMark/>
          </w:tcPr>
          <w:p w14:paraId="5E484826"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0.766</w:t>
            </w:r>
          </w:p>
        </w:tc>
        <w:tc>
          <w:tcPr>
            <w:tcW w:w="707" w:type="pct"/>
            <w:tcBorders>
              <w:top w:val="nil"/>
              <w:left w:val="nil"/>
              <w:bottom w:val="nil"/>
              <w:right w:val="nil"/>
            </w:tcBorders>
            <w:shd w:val="clear" w:color="auto" w:fill="auto"/>
            <w:noWrap/>
            <w:tcMar>
              <w:left w:w="0" w:type="dxa"/>
              <w:right w:w="0" w:type="dxa"/>
            </w:tcMar>
            <w:vAlign w:val="bottom"/>
            <w:hideMark/>
          </w:tcPr>
          <w:p w14:paraId="1604B4C5"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0.830</w:t>
            </w:r>
          </w:p>
        </w:tc>
        <w:tc>
          <w:tcPr>
            <w:tcW w:w="705" w:type="pct"/>
            <w:tcBorders>
              <w:top w:val="nil"/>
              <w:left w:val="nil"/>
              <w:bottom w:val="nil"/>
              <w:right w:val="nil"/>
            </w:tcBorders>
            <w:shd w:val="clear" w:color="auto" w:fill="auto"/>
            <w:noWrap/>
            <w:tcMar>
              <w:left w:w="0" w:type="dxa"/>
              <w:right w:w="0" w:type="dxa"/>
            </w:tcMar>
            <w:vAlign w:val="bottom"/>
            <w:hideMark/>
          </w:tcPr>
          <w:p w14:paraId="4D97B0AC"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0.928</w:t>
            </w:r>
          </w:p>
        </w:tc>
      </w:tr>
      <w:tr w:rsidR="003706B1" w:rsidRPr="003706B1" w14:paraId="57646C01" w14:textId="77777777" w:rsidTr="00AA6146">
        <w:trPr>
          <w:trHeight w:val="336"/>
        </w:trPr>
        <w:tc>
          <w:tcPr>
            <w:tcW w:w="598" w:type="pct"/>
            <w:tcBorders>
              <w:top w:val="nil"/>
              <w:left w:val="nil"/>
              <w:bottom w:val="nil"/>
              <w:right w:val="nil"/>
            </w:tcBorders>
            <w:shd w:val="clear" w:color="auto" w:fill="auto"/>
            <w:noWrap/>
            <w:tcMar>
              <w:left w:w="0" w:type="dxa"/>
              <w:right w:w="0" w:type="dxa"/>
            </w:tcMar>
            <w:vAlign w:val="bottom"/>
            <w:hideMark/>
          </w:tcPr>
          <w:p w14:paraId="6F1558DD" w14:textId="77777777" w:rsidR="003706B1" w:rsidRPr="003706B1" w:rsidRDefault="003706B1" w:rsidP="003706B1">
            <w:pPr>
              <w:widowControl/>
              <w:rPr>
                <w:rFonts w:eastAsia="等线" w:cs="Times New Roman"/>
                <w:kern w:val="0"/>
                <w:szCs w:val="21"/>
              </w:rPr>
            </w:pPr>
          </w:p>
        </w:tc>
        <w:tc>
          <w:tcPr>
            <w:tcW w:w="551" w:type="pct"/>
            <w:tcBorders>
              <w:top w:val="nil"/>
              <w:left w:val="nil"/>
              <w:bottom w:val="nil"/>
              <w:right w:val="nil"/>
            </w:tcBorders>
            <w:shd w:val="clear" w:color="auto" w:fill="auto"/>
            <w:noWrap/>
            <w:tcMar>
              <w:left w:w="0" w:type="dxa"/>
              <w:right w:w="0" w:type="dxa"/>
            </w:tcMar>
            <w:vAlign w:val="bottom"/>
            <w:hideMark/>
          </w:tcPr>
          <w:p w14:paraId="20FEF9F1"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2.5</w:t>
            </w:r>
          </w:p>
        </w:tc>
        <w:tc>
          <w:tcPr>
            <w:tcW w:w="563" w:type="pct"/>
            <w:tcBorders>
              <w:top w:val="nil"/>
              <w:left w:val="nil"/>
              <w:bottom w:val="nil"/>
              <w:right w:val="nil"/>
            </w:tcBorders>
            <w:shd w:val="clear" w:color="auto" w:fill="auto"/>
            <w:noWrap/>
            <w:tcMar>
              <w:left w:w="0" w:type="dxa"/>
              <w:right w:w="0" w:type="dxa"/>
            </w:tcMar>
            <w:hideMark/>
          </w:tcPr>
          <w:p w14:paraId="70C75C81"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0.637</w:t>
            </w:r>
            <w:r w:rsidRPr="003706B1">
              <w:rPr>
                <w:rFonts w:eastAsia="等线" w:cs="Times New Roman"/>
                <w:kern w:val="0"/>
                <w:szCs w:val="21"/>
                <w:vertAlign w:val="superscript"/>
              </w:rPr>
              <w:t>*</w:t>
            </w:r>
          </w:p>
        </w:tc>
        <w:tc>
          <w:tcPr>
            <w:tcW w:w="606" w:type="pct"/>
            <w:tcBorders>
              <w:top w:val="nil"/>
              <w:left w:val="nil"/>
              <w:bottom w:val="nil"/>
              <w:right w:val="nil"/>
            </w:tcBorders>
            <w:shd w:val="clear" w:color="auto" w:fill="auto"/>
            <w:noWrap/>
            <w:tcMar>
              <w:left w:w="0" w:type="dxa"/>
              <w:right w:w="0" w:type="dxa"/>
            </w:tcMar>
            <w:hideMark/>
          </w:tcPr>
          <w:p w14:paraId="2B34A56B"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-0.141</w:t>
            </w:r>
          </w:p>
        </w:tc>
        <w:tc>
          <w:tcPr>
            <w:tcW w:w="563" w:type="pct"/>
            <w:tcBorders>
              <w:top w:val="nil"/>
              <w:left w:val="nil"/>
              <w:bottom w:val="nil"/>
              <w:right w:val="nil"/>
            </w:tcBorders>
            <w:shd w:val="clear" w:color="auto" w:fill="auto"/>
            <w:noWrap/>
            <w:tcMar>
              <w:left w:w="0" w:type="dxa"/>
              <w:right w:w="0" w:type="dxa"/>
            </w:tcMar>
            <w:hideMark/>
          </w:tcPr>
          <w:p w14:paraId="1DBACAB9"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0.875</w:t>
            </w:r>
            <w:r w:rsidRPr="003706B1">
              <w:rPr>
                <w:rFonts w:eastAsia="等线" w:cs="Times New Roman"/>
                <w:kern w:val="0"/>
                <w:szCs w:val="21"/>
                <w:vertAlign w:val="superscript"/>
              </w:rPr>
              <w:t>**</w:t>
            </w:r>
          </w:p>
        </w:tc>
        <w:tc>
          <w:tcPr>
            <w:tcW w:w="708" w:type="pct"/>
            <w:tcBorders>
              <w:top w:val="nil"/>
              <w:left w:val="nil"/>
              <w:bottom w:val="nil"/>
              <w:right w:val="nil"/>
            </w:tcBorders>
            <w:shd w:val="clear" w:color="auto" w:fill="auto"/>
            <w:noWrap/>
            <w:tcMar>
              <w:left w:w="0" w:type="dxa"/>
              <w:right w:w="0" w:type="dxa"/>
            </w:tcMar>
            <w:vAlign w:val="bottom"/>
            <w:hideMark/>
          </w:tcPr>
          <w:p w14:paraId="21FFCE4F"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0.771</w:t>
            </w:r>
          </w:p>
        </w:tc>
        <w:tc>
          <w:tcPr>
            <w:tcW w:w="707" w:type="pct"/>
            <w:tcBorders>
              <w:top w:val="nil"/>
              <w:left w:val="nil"/>
              <w:bottom w:val="nil"/>
              <w:right w:val="nil"/>
            </w:tcBorders>
            <w:shd w:val="clear" w:color="auto" w:fill="auto"/>
            <w:noWrap/>
            <w:tcMar>
              <w:left w:w="0" w:type="dxa"/>
              <w:right w:w="0" w:type="dxa"/>
            </w:tcMar>
            <w:vAlign w:val="bottom"/>
            <w:hideMark/>
          </w:tcPr>
          <w:p w14:paraId="6D9A81E4"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0.779</w:t>
            </w:r>
          </w:p>
        </w:tc>
        <w:tc>
          <w:tcPr>
            <w:tcW w:w="705" w:type="pct"/>
            <w:tcBorders>
              <w:top w:val="nil"/>
              <w:left w:val="nil"/>
              <w:bottom w:val="nil"/>
              <w:right w:val="nil"/>
            </w:tcBorders>
            <w:shd w:val="clear" w:color="auto" w:fill="auto"/>
            <w:noWrap/>
            <w:tcMar>
              <w:left w:w="0" w:type="dxa"/>
              <w:right w:w="0" w:type="dxa"/>
            </w:tcMar>
            <w:vAlign w:val="bottom"/>
            <w:hideMark/>
          </w:tcPr>
          <w:p w14:paraId="5B75F5D2"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0.974</w:t>
            </w:r>
          </w:p>
        </w:tc>
      </w:tr>
      <w:tr w:rsidR="003706B1" w:rsidRPr="003706B1" w14:paraId="37475208" w14:textId="77777777" w:rsidTr="00AA6146">
        <w:trPr>
          <w:trHeight w:val="336"/>
        </w:trPr>
        <w:tc>
          <w:tcPr>
            <w:tcW w:w="598" w:type="pct"/>
            <w:tcBorders>
              <w:top w:val="nil"/>
              <w:left w:val="nil"/>
              <w:bottom w:val="nil"/>
              <w:right w:val="nil"/>
            </w:tcBorders>
            <w:shd w:val="clear" w:color="auto" w:fill="auto"/>
            <w:noWrap/>
            <w:tcMar>
              <w:left w:w="0" w:type="dxa"/>
              <w:right w:w="0" w:type="dxa"/>
            </w:tcMar>
            <w:vAlign w:val="bottom"/>
            <w:hideMark/>
          </w:tcPr>
          <w:p w14:paraId="42903FB9" w14:textId="77777777" w:rsidR="003706B1" w:rsidRPr="003706B1" w:rsidRDefault="003706B1" w:rsidP="003706B1">
            <w:pPr>
              <w:widowControl/>
              <w:rPr>
                <w:rFonts w:eastAsia="等线" w:cs="Times New Roman"/>
                <w:kern w:val="0"/>
                <w:szCs w:val="21"/>
              </w:rPr>
            </w:pPr>
          </w:p>
        </w:tc>
        <w:tc>
          <w:tcPr>
            <w:tcW w:w="551" w:type="pct"/>
            <w:tcBorders>
              <w:top w:val="nil"/>
              <w:left w:val="nil"/>
              <w:bottom w:val="nil"/>
              <w:right w:val="nil"/>
            </w:tcBorders>
            <w:shd w:val="clear" w:color="auto" w:fill="auto"/>
            <w:noWrap/>
            <w:tcMar>
              <w:left w:w="0" w:type="dxa"/>
              <w:right w:w="0" w:type="dxa"/>
            </w:tcMar>
            <w:vAlign w:val="bottom"/>
            <w:hideMark/>
          </w:tcPr>
          <w:p w14:paraId="32E9827C"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10</w:t>
            </w:r>
          </w:p>
        </w:tc>
        <w:tc>
          <w:tcPr>
            <w:tcW w:w="563" w:type="pct"/>
            <w:tcBorders>
              <w:top w:val="nil"/>
              <w:left w:val="nil"/>
              <w:bottom w:val="nil"/>
              <w:right w:val="nil"/>
            </w:tcBorders>
            <w:shd w:val="clear" w:color="auto" w:fill="auto"/>
            <w:noWrap/>
            <w:tcMar>
              <w:left w:w="0" w:type="dxa"/>
              <w:right w:w="0" w:type="dxa"/>
            </w:tcMar>
            <w:hideMark/>
          </w:tcPr>
          <w:p w14:paraId="433FA690"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0.461</w:t>
            </w:r>
          </w:p>
        </w:tc>
        <w:tc>
          <w:tcPr>
            <w:tcW w:w="606" w:type="pct"/>
            <w:tcBorders>
              <w:top w:val="nil"/>
              <w:left w:val="nil"/>
              <w:bottom w:val="nil"/>
              <w:right w:val="nil"/>
            </w:tcBorders>
            <w:shd w:val="clear" w:color="auto" w:fill="auto"/>
            <w:noWrap/>
            <w:tcMar>
              <w:left w:w="0" w:type="dxa"/>
              <w:right w:w="0" w:type="dxa"/>
            </w:tcMar>
            <w:hideMark/>
          </w:tcPr>
          <w:p w14:paraId="7BE5C224"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0.567</w:t>
            </w:r>
            <w:r w:rsidRPr="003706B1">
              <w:rPr>
                <w:rFonts w:eastAsia="等线" w:cs="Times New Roman"/>
                <w:kern w:val="0"/>
                <w:szCs w:val="21"/>
                <w:vertAlign w:val="superscript"/>
              </w:rPr>
              <w:t>*</w:t>
            </w:r>
          </w:p>
        </w:tc>
        <w:tc>
          <w:tcPr>
            <w:tcW w:w="563" w:type="pct"/>
            <w:tcBorders>
              <w:top w:val="nil"/>
              <w:left w:val="nil"/>
              <w:bottom w:val="nil"/>
              <w:right w:val="nil"/>
            </w:tcBorders>
            <w:shd w:val="clear" w:color="auto" w:fill="auto"/>
            <w:noWrap/>
            <w:tcMar>
              <w:left w:w="0" w:type="dxa"/>
              <w:right w:w="0" w:type="dxa"/>
            </w:tcMar>
            <w:hideMark/>
          </w:tcPr>
          <w:p w14:paraId="3855EB7F"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0.664</w:t>
            </w:r>
            <w:r w:rsidRPr="003706B1">
              <w:rPr>
                <w:rFonts w:eastAsia="等线" w:cs="Times New Roman"/>
                <w:kern w:val="0"/>
                <w:szCs w:val="21"/>
                <w:vertAlign w:val="superscript"/>
              </w:rPr>
              <w:t>*</w:t>
            </w:r>
          </w:p>
        </w:tc>
        <w:tc>
          <w:tcPr>
            <w:tcW w:w="708" w:type="pct"/>
            <w:tcBorders>
              <w:top w:val="nil"/>
              <w:left w:val="nil"/>
              <w:bottom w:val="nil"/>
              <w:right w:val="nil"/>
            </w:tcBorders>
            <w:shd w:val="clear" w:color="auto" w:fill="auto"/>
            <w:noWrap/>
            <w:tcMar>
              <w:left w:w="0" w:type="dxa"/>
              <w:right w:w="0" w:type="dxa"/>
            </w:tcMar>
            <w:vAlign w:val="bottom"/>
            <w:hideMark/>
          </w:tcPr>
          <w:p w14:paraId="533829E6"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0.808</w:t>
            </w:r>
          </w:p>
        </w:tc>
        <w:tc>
          <w:tcPr>
            <w:tcW w:w="707" w:type="pct"/>
            <w:tcBorders>
              <w:top w:val="nil"/>
              <w:left w:val="nil"/>
              <w:bottom w:val="nil"/>
              <w:right w:val="nil"/>
            </w:tcBorders>
            <w:shd w:val="clear" w:color="auto" w:fill="auto"/>
            <w:noWrap/>
            <w:tcMar>
              <w:left w:w="0" w:type="dxa"/>
              <w:right w:w="0" w:type="dxa"/>
            </w:tcMar>
            <w:vAlign w:val="bottom"/>
            <w:hideMark/>
          </w:tcPr>
          <w:p w14:paraId="2CAC3053"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0.840</w:t>
            </w:r>
          </w:p>
        </w:tc>
        <w:tc>
          <w:tcPr>
            <w:tcW w:w="705" w:type="pct"/>
            <w:tcBorders>
              <w:top w:val="nil"/>
              <w:left w:val="nil"/>
              <w:bottom w:val="nil"/>
              <w:right w:val="nil"/>
            </w:tcBorders>
            <w:shd w:val="clear" w:color="auto" w:fill="auto"/>
            <w:noWrap/>
            <w:tcMar>
              <w:left w:w="0" w:type="dxa"/>
              <w:right w:w="0" w:type="dxa"/>
            </w:tcMar>
            <w:vAlign w:val="bottom"/>
            <w:hideMark/>
          </w:tcPr>
          <w:p w14:paraId="64C6BCD6"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0.982</w:t>
            </w:r>
          </w:p>
        </w:tc>
      </w:tr>
      <w:tr w:rsidR="003706B1" w:rsidRPr="003706B1" w14:paraId="2720E440" w14:textId="77777777" w:rsidTr="00AA6146">
        <w:trPr>
          <w:trHeight w:val="336"/>
        </w:trPr>
        <w:tc>
          <w:tcPr>
            <w:tcW w:w="598" w:type="pct"/>
            <w:tcBorders>
              <w:top w:val="nil"/>
              <w:left w:val="nil"/>
              <w:bottom w:val="nil"/>
              <w:right w:val="nil"/>
            </w:tcBorders>
            <w:shd w:val="clear" w:color="auto" w:fill="auto"/>
            <w:noWrap/>
            <w:tcMar>
              <w:left w:w="0" w:type="dxa"/>
              <w:right w:w="0" w:type="dxa"/>
            </w:tcMar>
            <w:vAlign w:val="bottom"/>
            <w:hideMark/>
          </w:tcPr>
          <w:p w14:paraId="4622D326"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Summer</w:t>
            </w:r>
          </w:p>
        </w:tc>
        <w:tc>
          <w:tcPr>
            <w:tcW w:w="551" w:type="pct"/>
            <w:tcBorders>
              <w:top w:val="nil"/>
              <w:left w:val="nil"/>
              <w:bottom w:val="nil"/>
              <w:right w:val="nil"/>
            </w:tcBorders>
            <w:shd w:val="clear" w:color="auto" w:fill="auto"/>
            <w:noWrap/>
            <w:tcMar>
              <w:left w:w="0" w:type="dxa"/>
              <w:right w:w="0" w:type="dxa"/>
            </w:tcMar>
            <w:vAlign w:val="bottom"/>
            <w:hideMark/>
          </w:tcPr>
          <w:p w14:paraId="410B3544"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0.26</w:t>
            </w:r>
          </w:p>
        </w:tc>
        <w:tc>
          <w:tcPr>
            <w:tcW w:w="563" w:type="pct"/>
            <w:tcBorders>
              <w:top w:val="nil"/>
              <w:left w:val="nil"/>
              <w:bottom w:val="nil"/>
              <w:right w:val="nil"/>
            </w:tcBorders>
            <w:shd w:val="clear" w:color="auto" w:fill="auto"/>
            <w:noWrap/>
            <w:tcMar>
              <w:left w:w="0" w:type="dxa"/>
              <w:right w:w="0" w:type="dxa"/>
            </w:tcMar>
            <w:hideMark/>
          </w:tcPr>
          <w:p w14:paraId="66075116"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1</w:t>
            </w:r>
          </w:p>
        </w:tc>
        <w:tc>
          <w:tcPr>
            <w:tcW w:w="606" w:type="pct"/>
            <w:tcBorders>
              <w:top w:val="nil"/>
              <w:left w:val="nil"/>
              <w:bottom w:val="nil"/>
              <w:right w:val="nil"/>
            </w:tcBorders>
            <w:shd w:val="clear" w:color="auto" w:fill="auto"/>
            <w:noWrap/>
            <w:tcMar>
              <w:left w:w="0" w:type="dxa"/>
              <w:right w:w="0" w:type="dxa"/>
            </w:tcMar>
            <w:hideMark/>
          </w:tcPr>
          <w:p w14:paraId="41BE9B99"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1</w:t>
            </w:r>
          </w:p>
        </w:tc>
        <w:tc>
          <w:tcPr>
            <w:tcW w:w="563" w:type="pct"/>
            <w:tcBorders>
              <w:top w:val="nil"/>
              <w:left w:val="nil"/>
              <w:bottom w:val="nil"/>
              <w:right w:val="nil"/>
            </w:tcBorders>
            <w:shd w:val="clear" w:color="auto" w:fill="auto"/>
            <w:noWrap/>
            <w:tcMar>
              <w:left w:w="0" w:type="dxa"/>
              <w:right w:w="0" w:type="dxa"/>
            </w:tcMar>
            <w:hideMark/>
          </w:tcPr>
          <w:p w14:paraId="486417EB"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0.854</w:t>
            </w:r>
            <w:r w:rsidRPr="003706B1">
              <w:rPr>
                <w:rFonts w:eastAsia="等线" w:cs="Times New Roman"/>
                <w:kern w:val="0"/>
                <w:szCs w:val="21"/>
                <w:vertAlign w:val="superscript"/>
              </w:rPr>
              <w:t>**</w:t>
            </w:r>
          </w:p>
        </w:tc>
        <w:tc>
          <w:tcPr>
            <w:tcW w:w="708" w:type="pct"/>
            <w:tcBorders>
              <w:top w:val="nil"/>
              <w:left w:val="nil"/>
              <w:bottom w:val="nil"/>
              <w:right w:val="nil"/>
            </w:tcBorders>
            <w:shd w:val="clear" w:color="auto" w:fill="auto"/>
            <w:noWrap/>
            <w:tcMar>
              <w:left w:w="0" w:type="dxa"/>
              <w:right w:w="0" w:type="dxa"/>
            </w:tcMar>
            <w:vAlign w:val="bottom"/>
            <w:hideMark/>
          </w:tcPr>
          <w:p w14:paraId="42F67C52"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1.000</w:t>
            </w:r>
          </w:p>
        </w:tc>
        <w:tc>
          <w:tcPr>
            <w:tcW w:w="707" w:type="pct"/>
            <w:tcBorders>
              <w:top w:val="nil"/>
              <w:left w:val="nil"/>
              <w:bottom w:val="nil"/>
              <w:right w:val="nil"/>
            </w:tcBorders>
            <w:shd w:val="clear" w:color="auto" w:fill="auto"/>
            <w:noWrap/>
            <w:tcMar>
              <w:left w:w="0" w:type="dxa"/>
              <w:right w:w="0" w:type="dxa"/>
            </w:tcMar>
            <w:vAlign w:val="bottom"/>
            <w:hideMark/>
          </w:tcPr>
          <w:p w14:paraId="050C297D"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1.000</w:t>
            </w:r>
          </w:p>
        </w:tc>
        <w:tc>
          <w:tcPr>
            <w:tcW w:w="705" w:type="pct"/>
            <w:tcBorders>
              <w:top w:val="nil"/>
              <w:left w:val="nil"/>
              <w:bottom w:val="nil"/>
              <w:right w:val="nil"/>
            </w:tcBorders>
            <w:shd w:val="clear" w:color="auto" w:fill="auto"/>
            <w:noWrap/>
            <w:tcMar>
              <w:left w:w="0" w:type="dxa"/>
              <w:right w:w="0" w:type="dxa"/>
            </w:tcMar>
            <w:vAlign w:val="bottom"/>
            <w:hideMark/>
          </w:tcPr>
          <w:p w14:paraId="3EA04FC4"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0.930</w:t>
            </w:r>
          </w:p>
        </w:tc>
      </w:tr>
      <w:tr w:rsidR="003706B1" w:rsidRPr="003706B1" w14:paraId="63C60C9B" w14:textId="77777777" w:rsidTr="00AA6146">
        <w:trPr>
          <w:trHeight w:val="336"/>
        </w:trPr>
        <w:tc>
          <w:tcPr>
            <w:tcW w:w="598" w:type="pct"/>
            <w:tcBorders>
              <w:top w:val="nil"/>
              <w:left w:val="nil"/>
              <w:bottom w:val="nil"/>
              <w:right w:val="nil"/>
            </w:tcBorders>
            <w:shd w:val="clear" w:color="auto" w:fill="auto"/>
            <w:noWrap/>
            <w:tcMar>
              <w:left w:w="0" w:type="dxa"/>
              <w:right w:w="0" w:type="dxa"/>
            </w:tcMar>
            <w:vAlign w:val="bottom"/>
            <w:hideMark/>
          </w:tcPr>
          <w:p w14:paraId="33E1411E" w14:textId="77777777" w:rsidR="003706B1" w:rsidRPr="003706B1" w:rsidRDefault="003706B1" w:rsidP="003706B1">
            <w:pPr>
              <w:widowControl/>
              <w:rPr>
                <w:rFonts w:eastAsia="等线" w:cs="Times New Roman"/>
                <w:kern w:val="0"/>
                <w:szCs w:val="21"/>
              </w:rPr>
            </w:pPr>
          </w:p>
        </w:tc>
        <w:tc>
          <w:tcPr>
            <w:tcW w:w="551" w:type="pct"/>
            <w:tcBorders>
              <w:top w:val="nil"/>
              <w:left w:val="nil"/>
              <w:bottom w:val="nil"/>
              <w:right w:val="nil"/>
            </w:tcBorders>
            <w:shd w:val="clear" w:color="auto" w:fill="auto"/>
            <w:noWrap/>
            <w:tcMar>
              <w:left w:w="0" w:type="dxa"/>
              <w:right w:w="0" w:type="dxa"/>
            </w:tcMar>
            <w:vAlign w:val="bottom"/>
            <w:hideMark/>
          </w:tcPr>
          <w:p w14:paraId="638BFBE1"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0.44</w:t>
            </w:r>
          </w:p>
        </w:tc>
        <w:tc>
          <w:tcPr>
            <w:tcW w:w="563" w:type="pct"/>
            <w:tcBorders>
              <w:top w:val="nil"/>
              <w:left w:val="nil"/>
              <w:bottom w:val="nil"/>
              <w:right w:val="nil"/>
            </w:tcBorders>
            <w:shd w:val="clear" w:color="auto" w:fill="auto"/>
            <w:noWrap/>
            <w:tcMar>
              <w:left w:w="0" w:type="dxa"/>
              <w:right w:w="0" w:type="dxa"/>
            </w:tcMar>
            <w:hideMark/>
          </w:tcPr>
          <w:p w14:paraId="0C4ADABB"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0.990</w:t>
            </w:r>
            <w:r w:rsidRPr="003706B1">
              <w:rPr>
                <w:rFonts w:eastAsia="等线" w:cs="Times New Roman"/>
                <w:kern w:val="0"/>
                <w:szCs w:val="21"/>
                <w:vertAlign w:val="superscript"/>
              </w:rPr>
              <w:t>**</w:t>
            </w:r>
          </w:p>
        </w:tc>
        <w:tc>
          <w:tcPr>
            <w:tcW w:w="606" w:type="pct"/>
            <w:tcBorders>
              <w:top w:val="nil"/>
              <w:left w:val="nil"/>
              <w:bottom w:val="nil"/>
              <w:right w:val="nil"/>
            </w:tcBorders>
            <w:shd w:val="clear" w:color="auto" w:fill="auto"/>
            <w:noWrap/>
            <w:tcMar>
              <w:left w:w="0" w:type="dxa"/>
              <w:right w:w="0" w:type="dxa"/>
            </w:tcMar>
            <w:hideMark/>
          </w:tcPr>
          <w:p w14:paraId="2EB5F24E"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0.943</w:t>
            </w:r>
            <w:r w:rsidRPr="003706B1">
              <w:rPr>
                <w:rFonts w:eastAsia="等线" w:cs="Times New Roman"/>
                <w:kern w:val="0"/>
                <w:szCs w:val="21"/>
                <w:vertAlign w:val="superscript"/>
              </w:rPr>
              <w:t>**</w:t>
            </w:r>
          </w:p>
        </w:tc>
        <w:tc>
          <w:tcPr>
            <w:tcW w:w="563" w:type="pct"/>
            <w:tcBorders>
              <w:top w:val="nil"/>
              <w:left w:val="nil"/>
              <w:bottom w:val="nil"/>
              <w:right w:val="nil"/>
            </w:tcBorders>
            <w:shd w:val="clear" w:color="auto" w:fill="auto"/>
            <w:noWrap/>
            <w:tcMar>
              <w:left w:w="0" w:type="dxa"/>
              <w:right w:w="0" w:type="dxa"/>
            </w:tcMar>
            <w:hideMark/>
          </w:tcPr>
          <w:p w14:paraId="151D60EC"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0.975</w:t>
            </w:r>
            <w:r w:rsidRPr="003706B1">
              <w:rPr>
                <w:rFonts w:eastAsia="等线" w:cs="Times New Roman"/>
                <w:kern w:val="0"/>
                <w:szCs w:val="21"/>
                <w:vertAlign w:val="superscript"/>
              </w:rPr>
              <w:t>**</w:t>
            </w:r>
          </w:p>
        </w:tc>
        <w:tc>
          <w:tcPr>
            <w:tcW w:w="708" w:type="pct"/>
            <w:tcBorders>
              <w:top w:val="nil"/>
              <w:left w:val="nil"/>
              <w:bottom w:val="nil"/>
              <w:right w:val="nil"/>
            </w:tcBorders>
            <w:shd w:val="clear" w:color="auto" w:fill="auto"/>
            <w:noWrap/>
            <w:tcMar>
              <w:left w:w="0" w:type="dxa"/>
              <w:right w:w="0" w:type="dxa"/>
            </w:tcMar>
            <w:vAlign w:val="bottom"/>
            <w:hideMark/>
          </w:tcPr>
          <w:p w14:paraId="231BF542"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0.656</w:t>
            </w:r>
          </w:p>
        </w:tc>
        <w:tc>
          <w:tcPr>
            <w:tcW w:w="707" w:type="pct"/>
            <w:tcBorders>
              <w:top w:val="nil"/>
              <w:left w:val="nil"/>
              <w:bottom w:val="nil"/>
              <w:right w:val="nil"/>
            </w:tcBorders>
            <w:shd w:val="clear" w:color="auto" w:fill="auto"/>
            <w:noWrap/>
            <w:tcMar>
              <w:left w:w="0" w:type="dxa"/>
              <w:right w:w="0" w:type="dxa"/>
            </w:tcMar>
            <w:vAlign w:val="bottom"/>
            <w:hideMark/>
          </w:tcPr>
          <w:p w14:paraId="029CAF4F"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0.700</w:t>
            </w:r>
          </w:p>
        </w:tc>
        <w:tc>
          <w:tcPr>
            <w:tcW w:w="705" w:type="pct"/>
            <w:tcBorders>
              <w:top w:val="nil"/>
              <w:left w:val="nil"/>
              <w:bottom w:val="nil"/>
              <w:right w:val="nil"/>
            </w:tcBorders>
            <w:shd w:val="clear" w:color="auto" w:fill="auto"/>
            <w:noWrap/>
            <w:tcMar>
              <w:left w:w="0" w:type="dxa"/>
              <w:right w:w="0" w:type="dxa"/>
            </w:tcMar>
            <w:vAlign w:val="bottom"/>
            <w:hideMark/>
          </w:tcPr>
          <w:p w14:paraId="4FFE245E"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0.853</w:t>
            </w:r>
          </w:p>
        </w:tc>
      </w:tr>
      <w:tr w:rsidR="003706B1" w:rsidRPr="003706B1" w14:paraId="49EFEDE4" w14:textId="77777777" w:rsidTr="00AA6146">
        <w:trPr>
          <w:trHeight w:val="336"/>
        </w:trPr>
        <w:tc>
          <w:tcPr>
            <w:tcW w:w="598" w:type="pct"/>
            <w:tcBorders>
              <w:top w:val="nil"/>
              <w:left w:val="nil"/>
              <w:bottom w:val="nil"/>
              <w:right w:val="nil"/>
            </w:tcBorders>
            <w:shd w:val="clear" w:color="auto" w:fill="auto"/>
            <w:noWrap/>
            <w:tcMar>
              <w:left w:w="0" w:type="dxa"/>
              <w:right w:w="0" w:type="dxa"/>
            </w:tcMar>
            <w:vAlign w:val="bottom"/>
            <w:hideMark/>
          </w:tcPr>
          <w:p w14:paraId="3FDE7AB6" w14:textId="77777777" w:rsidR="003706B1" w:rsidRPr="003706B1" w:rsidRDefault="003706B1" w:rsidP="003706B1">
            <w:pPr>
              <w:widowControl/>
              <w:rPr>
                <w:rFonts w:eastAsia="等线" w:cs="Times New Roman"/>
                <w:kern w:val="0"/>
                <w:szCs w:val="21"/>
              </w:rPr>
            </w:pPr>
          </w:p>
        </w:tc>
        <w:tc>
          <w:tcPr>
            <w:tcW w:w="551" w:type="pct"/>
            <w:tcBorders>
              <w:top w:val="nil"/>
              <w:left w:val="nil"/>
              <w:bottom w:val="nil"/>
              <w:right w:val="nil"/>
            </w:tcBorders>
            <w:shd w:val="clear" w:color="auto" w:fill="auto"/>
            <w:noWrap/>
            <w:tcMar>
              <w:left w:w="0" w:type="dxa"/>
              <w:right w:w="0" w:type="dxa"/>
            </w:tcMar>
            <w:vAlign w:val="bottom"/>
            <w:hideMark/>
          </w:tcPr>
          <w:p w14:paraId="5516813E"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0.77</w:t>
            </w:r>
          </w:p>
        </w:tc>
        <w:tc>
          <w:tcPr>
            <w:tcW w:w="563" w:type="pct"/>
            <w:tcBorders>
              <w:top w:val="nil"/>
              <w:left w:val="nil"/>
              <w:bottom w:val="nil"/>
              <w:right w:val="nil"/>
            </w:tcBorders>
            <w:shd w:val="clear" w:color="auto" w:fill="auto"/>
            <w:noWrap/>
            <w:tcMar>
              <w:left w:w="0" w:type="dxa"/>
              <w:right w:w="0" w:type="dxa"/>
            </w:tcMar>
            <w:hideMark/>
          </w:tcPr>
          <w:p w14:paraId="5B68FB4B"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0.956</w:t>
            </w:r>
            <w:r w:rsidRPr="003706B1">
              <w:rPr>
                <w:rFonts w:eastAsia="等线" w:cs="Times New Roman"/>
                <w:kern w:val="0"/>
                <w:szCs w:val="21"/>
                <w:vertAlign w:val="superscript"/>
              </w:rPr>
              <w:t>**</w:t>
            </w:r>
          </w:p>
        </w:tc>
        <w:tc>
          <w:tcPr>
            <w:tcW w:w="606" w:type="pct"/>
            <w:tcBorders>
              <w:top w:val="nil"/>
              <w:left w:val="nil"/>
              <w:bottom w:val="nil"/>
              <w:right w:val="nil"/>
            </w:tcBorders>
            <w:shd w:val="clear" w:color="auto" w:fill="auto"/>
            <w:noWrap/>
            <w:tcMar>
              <w:left w:w="0" w:type="dxa"/>
              <w:right w:w="0" w:type="dxa"/>
            </w:tcMar>
            <w:hideMark/>
          </w:tcPr>
          <w:p w14:paraId="657D48EE"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0.920</w:t>
            </w:r>
            <w:r w:rsidRPr="003706B1">
              <w:rPr>
                <w:rFonts w:eastAsia="等线" w:cs="Times New Roman"/>
                <w:kern w:val="0"/>
                <w:szCs w:val="21"/>
                <w:vertAlign w:val="superscript"/>
              </w:rPr>
              <w:t>**</w:t>
            </w:r>
          </w:p>
        </w:tc>
        <w:tc>
          <w:tcPr>
            <w:tcW w:w="563" w:type="pct"/>
            <w:tcBorders>
              <w:top w:val="nil"/>
              <w:left w:val="nil"/>
              <w:bottom w:val="nil"/>
              <w:right w:val="nil"/>
            </w:tcBorders>
            <w:shd w:val="clear" w:color="auto" w:fill="auto"/>
            <w:noWrap/>
            <w:tcMar>
              <w:left w:w="0" w:type="dxa"/>
              <w:right w:w="0" w:type="dxa"/>
            </w:tcMar>
            <w:hideMark/>
          </w:tcPr>
          <w:p w14:paraId="1263C6C1"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0.874</w:t>
            </w:r>
            <w:r w:rsidRPr="003706B1">
              <w:rPr>
                <w:rFonts w:eastAsia="等线" w:cs="Times New Roman"/>
                <w:kern w:val="0"/>
                <w:szCs w:val="21"/>
                <w:vertAlign w:val="superscript"/>
              </w:rPr>
              <w:t>**</w:t>
            </w:r>
          </w:p>
        </w:tc>
        <w:tc>
          <w:tcPr>
            <w:tcW w:w="708" w:type="pct"/>
            <w:tcBorders>
              <w:top w:val="nil"/>
              <w:left w:val="nil"/>
              <w:bottom w:val="nil"/>
              <w:right w:val="nil"/>
            </w:tcBorders>
            <w:shd w:val="clear" w:color="auto" w:fill="auto"/>
            <w:noWrap/>
            <w:tcMar>
              <w:left w:w="0" w:type="dxa"/>
              <w:right w:w="0" w:type="dxa"/>
            </w:tcMar>
            <w:vAlign w:val="bottom"/>
            <w:hideMark/>
          </w:tcPr>
          <w:p w14:paraId="18CC89FF"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0.612</w:t>
            </w:r>
          </w:p>
        </w:tc>
        <w:tc>
          <w:tcPr>
            <w:tcW w:w="707" w:type="pct"/>
            <w:tcBorders>
              <w:top w:val="nil"/>
              <w:left w:val="nil"/>
              <w:bottom w:val="nil"/>
              <w:right w:val="nil"/>
            </w:tcBorders>
            <w:shd w:val="clear" w:color="auto" w:fill="auto"/>
            <w:noWrap/>
            <w:tcMar>
              <w:left w:w="0" w:type="dxa"/>
              <w:right w:w="0" w:type="dxa"/>
            </w:tcMar>
            <w:vAlign w:val="bottom"/>
            <w:hideMark/>
          </w:tcPr>
          <w:p w14:paraId="79D6B1BB"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0.720</w:t>
            </w:r>
          </w:p>
        </w:tc>
        <w:tc>
          <w:tcPr>
            <w:tcW w:w="705" w:type="pct"/>
            <w:tcBorders>
              <w:top w:val="nil"/>
              <w:left w:val="nil"/>
              <w:bottom w:val="nil"/>
              <w:right w:val="nil"/>
            </w:tcBorders>
            <w:shd w:val="clear" w:color="auto" w:fill="auto"/>
            <w:noWrap/>
            <w:tcMar>
              <w:left w:w="0" w:type="dxa"/>
              <w:right w:w="0" w:type="dxa"/>
            </w:tcMar>
            <w:vAlign w:val="bottom"/>
            <w:hideMark/>
          </w:tcPr>
          <w:p w14:paraId="3C6D58AE"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0.929</w:t>
            </w:r>
          </w:p>
        </w:tc>
      </w:tr>
      <w:tr w:rsidR="003706B1" w:rsidRPr="003706B1" w14:paraId="5D454A57" w14:textId="77777777" w:rsidTr="00AA6146">
        <w:trPr>
          <w:trHeight w:val="336"/>
        </w:trPr>
        <w:tc>
          <w:tcPr>
            <w:tcW w:w="598" w:type="pct"/>
            <w:tcBorders>
              <w:top w:val="nil"/>
              <w:left w:val="nil"/>
              <w:bottom w:val="nil"/>
              <w:right w:val="nil"/>
            </w:tcBorders>
            <w:shd w:val="clear" w:color="auto" w:fill="auto"/>
            <w:noWrap/>
            <w:tcMar>
              <w:left w:w="0" w:type="dxa"/>
              <w:right w:w="0" w:type="dxa"/>
            </w:tcMar>
            <w:vAlign w:val="bottom"/>
            <w:hideMark/>
          </w:tcPr>
          <w:p w14:paraId="14862623" w14:textId="77777777" w:rsidR="003706B1" w:rsidRPr="003706B1" w:rsidRDefault="003706B1" w:rsidP="003706B1">
            <w:pPr>
              <w:widowControl/>
              <w:rPr>
                <w:rFonts w:eastAsia="等线" w:cs="Times New Roman"/>
                <w:kern w:val="0"/>
                <w:szCs w:val="21"/>
              </w:rPr>
            </w:pPr>
          </w:p>
        </w:tc>
        <w:tc>
          <w:tcPr>
            <w:tcW w:w="551" w:type="pct"/>
            <w:tcBorders>
              <w:top w:val="nil"/>
              <w:left w:val="nil"/>
              <w:bottom w:val="nil"/>
              <w:right w:val="nil"/>
            </w:tcBorders>
            <w:shd w:val="clear" w:color="auto" w:fill="auto"/>
            <w:noWrap/>
            <w:tcMar>
              <w:left w:w="0" w:type="dxa"/>
              <w:right w:w="0" w:type="dxa"/>
            </w:tcMar>
            <w:vAlign w:val="bottom"/>
            <w:hideMark/>
          </w:tcPr>
          <w:p w14:paraId="7971CC2D"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1.4</w:t>
            </w:r>
          </w:p>
        </w:tc>
        <w:tc>
          <w:tcPr>
            <w:tcW w:w="563" w:type="pct"/>
            <w:tcBorders>
              <w:top w:val="nil"/>
              <w:left w:val="nil"/>
              <w:bottom w:val="nil"/>
              <w:right w:val="nil"/>
            </w:tcBorders>
            <w:shd w:val="clear" w:color="auto" w:fill="auto"/>
            <w:noWrap/>
            <w:tcMar>
              <w:left w:w="0" w:type="dxa"/>
              <w:right w:w="0" w:type="dxa"/>
            </w:tcMar>
            <w:hideMark/>
          </w:tcPr>
          <w:p w14:paraId="1DB2D4C8"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0.946</w:t>
            </w:r>
            <w:r w:rsidRPr="003706B1">
              <w:rPr>
                <w:rFonts w:eastAsia="等线" w:cs="Times New Roman"/>
                <w:kern w:val="0"/>
                <w:szCs w:val="21"/>
                <w:vertAlign w:val="superscript"/>
              </w:rPr>
              <w:t>**</w:t>
            </w:r>
          </w:p>
        </w:tc>
        <w:tc>
          <w:tcPr>
            <w:tcW w:w="606" w:type="pct"/>
            <w:tcBorders>
              <w:top w:val="nil"/>
              <w:left w:val="nil"/>
              <w:bottom w:val="nil"/>
              <w:right w:val="nil"/>
            </w:tcBorders>
            <w:shd w:val="clear" w:color="auto" w:fill="auto"/>
            <w:noWrap/>
            <w:tcMar>
              <w:left w:w="0" w:type="dxa"/>
              <w:right w:w="0" w:type="dxa"/>
            </w:tcMar>
            <w:hideMark/>
          </w:tcPr>
          <w:p w14:paraId="7099CF00"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0.825</w:t>
            </w:r>
            <w:r w:rsidRPr="003706B1">
              <w:rPr>
                <w:rFonts w:eastAsia="等线" w:cs="Times New Roman"/>
                <w:kern w:val="0"/>
                <w:szCs w:val="21"/>
                <w:vertAlign w:val="superscript"/>
              </w:rPr>
              <w:t>*</w:t>
            </w:r>
          </w:p>
        </w:tc>
        <w:tc>
          <w:tcPr>
            <w:tcW w:w="563" w:type="pct"/>
            <w:tcBorders>
              <w:top w:val="nil"/>
              <w:left w:val="nil"/>
              <w:bottom w:val="nil"/>
              <w:right w:val="nil"/>
            </w:tcBorders>
            <w:shd w:val="clear" w:color="auto" w:fill="auto"/>
            <w:noWrap/>
            <w:tcMar>
              <w:left w:w="0" w:type="dxa"/>
              <w:right w:w="0" w:type="dxa"/>
            </w:tcMar>
            <w:hideMark/>
          </w:tcPr>
          <w:p w14:paraId="57A724BD"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0.687</w:t>
            </w:r>
          </w:p>
        </w:tc>
        <w:tc>
          <w:tcPr>
            <w:tcW w:w="708" w:type="pct"/>
            <w:tcBorders>
              <w:top w:val="nil"/>
              <w:left w:val="nil"/>
              <w:bottom w:val="nil"/>
              <w:right w:val="nil"/>
            </w:tcBorders>
            <w:shd w:val="clear" w:color="auto" w:fill="auto"/>
            <w:noWrap/>
            <w:tcMar>
              <w:left w:w="0" w:type="dxa"/>
              <w:right w:w="0" w:type="dxa"/>
            </w:tcMar>
            <w:vAlign w:val="bottom"/>
            <w:hideMark/>
          </w:tcPr>
          <w:p w14:paraId="42395CAC"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0.672</w:t>
            </w:r>
          </w:p>
        </w:tc>
        <w:tc>
          <w:tcPr>
            <w:tcW w:w="707" w:type="pct"/>
            <w:tcBorders>
              <w:top w:val="nil"/>
              <w:left w:val="nil"/>
              <w:bottom w:val="nil"/>
              <w:right w:val="nil"/>
            </w:tcBorders>
            <w:shd w:val="clear" w:color="auto" w:fill="auto"/>
            <w:noWrap/>
            <w:tcMar>
              <w:left w:w="0" w:type="dxa"/>
              <w:right w:w="0" w:type="dxa"/>
            </w:tcMar>
            <w:vAlign w:val="bottom"/>
            <w:hideMark/>
          </w:tcPr>
          <w:p w14:paraId="2DA50F8C"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0.720</w:t>
            </w:r>
          </w:p>
        </w:tc>
        <w:tc>
          <w:tcPr>
            <w:tcW w:w="705" w:type="pct"/>
            <w:tcBorders>
              <w:top w:val="nil"/>
              <w:left w:val="nil"/>
              <w:bottom w:val="nil"/>
              <w:right w:val="nil"/>
            </w:tcBorders>
            <w:shd w:val="clear" w:color="auto" w:fill="auto"/>
            <w:noWrap/>
            <w:tcMar>
              <w:left w:w="0" w:type="dxa"/>
              <w:right w:w="0" w:type="dxa"/>
            </w:tcMar>
            <w:vAlign w:val="bottom"/>
            <w:hideMark/>
          </w:tcPr>
          <w:p w14:paraId="30523844"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0.921</w:t>
            </w:r>
          </w:p>
        </w:tc>
      </w:tr>
      <w:tr w:rsidR="003706B1" w:rsidRPr="003706B1" w14:paraId="47B44D31" w14:textId="77777777" w:rsidTr="00AA6146">
        <w:trPr>
          <w:trHeight w:val="336"/>
        </w:trPr>
        <w:tc>
          <w:tcPr>
            <w:tcW w:w="598" w:type="pct"/>
            <w:tcBorders>
              <w:top w:val="nil"/>
              <w:left w:val="nil"/>
              <w:bottom w:val="nil"/>
              <w:right w:val="nil"/>
            </w:tcBorders>
            <w:shd w:val="clear" w:color="auto" w:fill="auto"/>
            <w:noWrap/>
            <w:tcMar>
              <w:left w:w="0" w:type="dxa"/>
              <w:right w:w="0" w:type="dxa"/>
            </w:tcMar>
            <w:vAlign w:val="bottom"/>
            <w:hideMark/>
          </w:tcPr>
          <w:p w14:paraId="4641C9F1" w14:textId="77777777" w:rsidR="003706B1" w:rsidRPr="003706B1" w:rsidRDefault="003706B1" w:rsidP="003706B1">
            <w:pPr>
              <w:widowControl/>
              <w:rPr>
                <w:rFonts w:eastAsia="等线" w:cs="Times New Roman"/>
                <w:kern w:val="0"/>
                <w:szCs w:val="21"/>
              </w:rPr>
            </w:pPr>
          </w:p>
        </w:tc>
        <w:tc>
          <w:tcPr>
            <w:tcW w:w="551" w:type="pct"/>
            <w:tcBorders>
              <w:top w:val="nil"/>
              <w:left w:val="nil"/>
              <w:bottom w:val="nil"/>
              <w:right w:val="nil"/>
            </w:tcBorders>
            <w:shd w:val="clear" w:color="auto" w:fill="auto"/>
            <w:noWrap/>
            <w:tcMar>
              <w:left w:w="0" w:type="dxa"/>
              <w:right w:w="0" w:type="dxa"/>
            </w:tcMar>
            <w:vAlign w:val="bottom"/>
            <w:hideMark/>
          </w:tcPr>
          <w:p w14:paraId="64ECF053"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2.5</w:t>
            </w:r>
          </w:p>
        </w:tc>
        <w:tc>
          <w:tcPr>
            <w:tcW w:w="563" w:type="pct"/>
            <w:tcBorders>
              <w:top w:val="nil"/>
              <w:left w:val="nil"/>
              <w:bottom w:val="nil"/>
              <w:right w:val="nil"/>
            </w:tcBorders>
            <w:shd w:val="clear" w:color="auto" w:fill="auto"/>
            <w:noWrap/>
            <w:tcMar>
              <w:left w:w="0" w:type="dxa"/>
              <w:right w:w="0" w:type="dxa"/>
            </w:tcMar>
            <w:hideMark/>
          </w:tcPr>
          <w:p w14:paraId="70CC8ED2"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0.647</w:t>
            </w:r>
          </w:p>
        </w:tc>
        <w:tc>
          <w:tcPr>
            <w:tcW w:w="606" w:type="pct"/>
            <w:tcBorders>
              <w:top w:val="nil"/>
              <w:left w:val="nil"/>
              <w:bottom w:val="nil"/>
              <w:right w:val="nil"/>
            </w:tcBorders>
            <w:shd w:val="clear" w:color="auto" w:fill="auto"/>
            <w:noWrap/>
            <w:tcMar>
              <w:left w:w="0" w:type="dxa"/>
              <w:right w:w="0" w:type="dxa"/>
            </w:tcMar>
            <w:hideMark/>
          </w:tcPr>
          <w:p w14:paraId="728FF2FD"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0.827</w:t>
            </w:r>
            <w:r w:rsidRPr="003706B1">
              <w:rPr>
                <w:rFonts w:eastAsia="等线" w:cs="Times New Roman"/>
                <w:kern w:val="0"/>
                <w:szCs w:val="21"/>
                <w:vertAlign w:val="superscript"/>
              </w:rPr>
              <w:t>*</w:t>
            </w:r>
          </w:p>
        </w:tc>
        <w:tc>
          <w:tcPr>
            <w:tcW w:w="563" w:type="pct"/>
            <w:tcBorders>
              <w:top w:val="nil"/>
              <w:left w:val="nil"/>
              <w:bottom w:val="nil"/>
              <w:right w:val="nil"/>
            </w:tcBorders>
            <w:shd w:val="clear" w:color="auto" w:fill="auto"/>
            <w:noWrap/>
            <w:tcMar>
              <w:left w:w="0" w:type="dxa"/>
              <w:right w:w="0" w:type="dxa"/>
            </w:tcMar>
            <w:hideMark/>
          </w:tcPr>
          <w:p w14:paraId="1769D8E9"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0.225</w:t>
            </w:r>
          </w:p>
        </w:tc>
        <w:tc>
          <w:tcPr>
            <w:tcW w:w="708" w:type="pct"/>
            <w:tcBorders>
              <w:top w:val="nil"/>
              <w:left w:val="nil"/>
              <w:bottom w:val="nil"/>
              <w:right w:val="nil"/>
            </w:tcBorders>
            <w:shd w:val="clear" w:color="auto" w:fill="auto"/>
            <w:noWrap/>
            <w:tcMar>
              <w:left w:w="0" w:type="dxa"/>
              <w:right w:w="0" w:type="dxa"/>
            </w:tcMar>
            <w:vAlign w:val="bottom"/>
            <w:hideMark/>
          </w:tcPr>
          <w:p w14:paraId="52B32601"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0.645</w:t>
            </w:r>
          </w:p>
        </w:tc>
        <w:tc>
          <w:tcPr>
            <w:tcW w:w="707" w:type="pct"/>
            <w:tcBorders>
              <w:top w:val="nil"/>
              <w:left w:val="nil"/>
              <w:bottom w:val="nil"/>
              <w:right w:val="nil"/>
            </w:tcBorders>
            <w:shd w:val="clear" w:color="auto" w:fill="auto"/>
            <w:noWrap/>
            <w:tcMar>
              <w:left w:w="0" w:type="dxa"/>
              <w:right w:w="0" w:type="dxa"/>
            </w:tcMar>
            <w:vAlign w:val="bottom"/>
            <w:hideMark/>
          </w:tcPr>
          <w:p w14:paraId="3DC5D984"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0.750</w:t>
            </w:r>
          </w:p>
        </w:tc>
        <w:tc>
          <w:tcPr>
            <w:tcW w:w="705" w:type="pct"/>
            <w:tcBorders>
              <w:top w:val="nil"/>
              <w:left w:val="nil"/>
              <w:bottom w:val="nil"/>
              <w:right w:val="nil"/>
            </w:tcBorders>
            <w:shd w:val="clear" w:color="auto" w:fill="auto"/>
            <w:noWrap/>
            <w:tcMar>
              <w:left w:w="0" w:type="dxa"/>
              <w:right w:w="0" w:type="dxa"/>
            </w:tcMar>
            <w:vAlign w:val="bottom"/>
            <w:hideMark/>
          </w:tcPr>
          <w:p w14:paraId="6A367F08"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0.922</w:t>
            </w:r>
          </w:p>
        </w:tc>
      </w:tr>
      <w:tr w:rsidR="003706B1" w:rsidRPr="003706B1" w14:paraId="137E7416" w14:textId="77777777" w:rsidTr="00AA6146">
        <w:trPr>
          <w:trHeight w:val="336"/>
        </w:trPr>
        <w:tc>
          <w:tcPr>
            <w:tcW w:w="598" w:type="pct"/>
            <w:tcBorders>
              <w:top w:val="nil"/>
              <w:left w:val="nil"/>
              <w:bottom w:val="single" w:sz="4" w:space="0" w:color="auto"/>
              <w:right w:val="nil"/>
            </w:tcBorders>
            <w:shd w:val="clear" w:color="auto" w:fill="auto"/>
            <w:noWrap/>
            <w:tcMar>
              <w:left w:w="0" w:type="dxa"/>
              <w:right w:w="0" w:type="dxa"/>
            </w:tcMar>
            <w:vAlign w:val="bottom"/>
            <w:hideMark/>
          </w:tcPr>
          <w:p w14:paraId="6B02313B" w14:textId="77777777" w:rsidR="003706B1" w:rsidRPr="003706B1" w:rsidRDefault="003706B1" w:rsidP="003706B1">
            <w:pPr>
              <w:widowControl/>
              <w:rPr>
                <w:rFonts w:eastAsia="等线" w:cs="Times New Roman"/>
                <w:kern w:val="0"/>
                <w:szCs w:val="21"/>
              </w:rPr>
            </w:pPr>
          </w:p>
        </w:tc>
        <w:tc>
          <w:tcPr>
            <w:tcW w:w="551" w:type="pct"/>
            <w:tcBorders>
              <w:top w:val="nil"/>
              <w:left w:val="nil"/>
              <w:bottom w:val="single" w:sz="4" w:space="0" w:color="auto"/>
              <w:right w:val="nil"/>
            </w:tcBorders>
            <w:shd w:val="clear" w:color="auto" w:fill="auto"/>
            <w:noWrap/>
            <w:tcMar>
              <w:left w:w="0" w:type="dxa"/>
              <w:right w:w="0" w:type="dxa"/>
            </w:tcMar>
            <w:vAlign w:val="bottom"/>
            <w:hideMark/>
          </w:tcPr>
          <w:p w14:paraId="4E279BDE"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10</w:t>
            </w:r>
          </w:p>
        </w:tc>
        <w:tc>
          <w:tcPr>
            <w:tcW w:w="563" w:type="pct"/>
            <w:tcBorders>
              <w:top w:val="nil"/>
              <w:left w:val="nil"/>
              <w:bottom w:val="single" w:sz="4" w:space="0" w:color="auto"/>
              <w:right w:val="nil"/>
            </w:tcBorders>
            <w:shd w:val="clear" w:color="auto" w:fill="auto"/>
            <w:noWrap/>
            <w:tcMar>
              <w:left w:w="0" w:type="dxa"/>
              <w:right w:w="0" w:type="dxa"/>
            </w:tcMar>
            <w:hideMark/>
          </w:tcPr>
          <w:p w14:paraId="6093822A"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0.793</w:t>
            </w:r>
            <w:r w:rsidRPr="003706B1">
              <w:rPr>
                <w:rFonts w:eastAsia="等线" w:cs="Times New Roman"/>
                <w:kern w:val="0"/>
                <w:szCs w:val="21"/>
                <w:vertAlign w:val="superscript"/>
              </w:rPr>
              <w:t>*</w:t>
            </w:r>
          </w:p>
        </w:tc>
        <w:tc>
          <w:tcPr>
            <w:tcW w:w="606" w:type="pct"/>
            <w:tcBorders>
              <w:top w:val="nil"/>
              <w:left w:val="nil"/>
              <w:bottom w:val="single" w:sz="4" w:space="0" w:color="auto"/>
              <w:right w:val="nil"/>
            </w:tcBorders>
            <w:shd w:val="clear" w:color="auto" w:fill="auto"/>
            <w:noWrap/>
            <w:tcMar>
              <w:left w:w="0" w:type="dxa"/>
              <w:right w:w="0" w:type="dxa"/>
            </w:tcMar>
            <w:hideMark/>
          </w:tcPr>
          <w:p w14:paraId="15F58264"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0.635</w:t>
            </w:r>
          </w:p>
        </w:tc>
        <w:tc>
          <w:tcPr>
            <w:tcW w:w="563" w:type="pct"/>
            <w:tcBorders>
              <w:top w:val="nil"/>
              <w:left w:val="nil"/>
              <w:bottom w:val="single" w:sz="4" w:space="0" w:color="auto"/>
              <w:right w:val="nil"/>
            </w:tcBorders>
            <w:shd w:val="clear" w:color="auto" w:fill="auto"/>
            <w:noWrap/>
            <w:tcMar>
              <w:left w:w="0" w:type="dxa"/>
              <w:right w:w="0" w:type="dxa"/>
            </w:tcMar>
            <w:hideMark/>
          </w:tcPr>
          <w:p w14:paraId="0697F6D8"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0.739</w:t>
            </w:r>
            <w:r w:rsidRPr="003706B1">
              <w:rPr>
                <w:rFonts w:eastAsia="等线" w:cs="Times New Roman"/>
                <w:kern w:val="0"/>
                <w:szCs w:val="21"/>
                <w:vertAlign w:val="superscript"/>
              </w:rPr>
              <w:t>*</w:t>
            </w:r>
          </w:p>
        </w:tc>
        <w:tc>
          <w:tcPr>
            <w:tcW w:w="708" w:type="pct"/>
            <w:tcBorders>
              <w:top w:val="nil"/>
              <w:left w:val="nil"/>
              <w:bottom w:val="single" w:sz="4" w:space="0" w:color="auto"/>
              <w:right w:val="nil"/>
            </w:tcBorders>
            <w:shd w:val="clear" w:color="auto" w:fill="auto"/>
            <w:noWrap/>
            <w:tcMar>
              <w:left w:w="0" w:type="dxa"/>
              <w:right w:w="0" w:type="dxa"/>
            </w:tcMar>
            <w:vAlign w:val="bottom"/>
            <w:hideMark/>
          </w:tcPr>
          <w:p w14:paraId="0EE57F02"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0.577</w:t>
            </w:r>
          </w:p>
        </w:tc>
        <w:tc>
          <w:tcPr>
            <w:tcW w:w="707" w:type="pct"/>
            <w:tcBorders>
              <w:top w:val="nil"/>
              <w:left w:val="nil"/>
              <w:bottom w:val="single" w:sz="4" w:space="0" w:color="auto"/>
              <w:right w:val="nil"/>
            </w:tcBorders>
            <w:shd w:val="clear" w:color="auto" w:fill="auto"/>
            <w:noWrap/>
            <w:tcMar>
              <w:left w:w="0" w:type="dxa"/>
              <w:right w:w="0" w:type="dxa"/>
            </w:tcMar>
            <w:vAlign w:val="bottom"/>
            <w:hideMark/>
          </w:tcPr>
          <w:p w14:paraId="15462E98"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0.641</w:t>
            </w:r>
          </w:p>
        </w:tc>
        <w:tc>
          <w:tcPr>
            <w:tcW w:w="705" w:type="pct"/>
            <w:tcBorders>
              <w:top w:val="nil"/>
              <w:left w:val="nil"/>
              <w:bottom w:val="single" w:sz="4" w:space="0" w:color="auto"/>
              <w:right w:val="nil"/>
            </w:tcBorders>
            <w:shd w:val="clear" w:color="auto" w:fill="auto"/>
            <w:noWrap/>
            <w:tcMar>
              <w:left w:w="0" w:type="dxa"/>
              <w:right w:w="0" w:type="dxa"/>
            </w:tcMar>
            <w:vAlign w:val="bottom"/>
            <w:hideMark/>
          </w:tcPr>
          <w:p w14:paraId="40763FE8" w14:textId="77777777" w:rsidR="003706B1" w:rsidRPr="003706B1" w:rsidRDefault="003706B1" w:rsidP="003706B1">
            <w:pPr>
              <w:widowControl/>
              <w:rPr>
                <w:rFonts w:eastAsia="等线" w:cs="Times New Roman"/>
                <w:kern w:val="0"/>
                <w:szCs w:val="21"/>
              </w:rPr>
            </w:pPr>
            <w:r w:rsidRPr="003706B1">
              <w:rPr>
                <w:rFonts w:eastAsia="等线" w:cs="Times New Roman"/>
                <w:kern w:val="0"/>
                <w:szCs w:val="21"/>
              </w:rPr>
              <w:t>0.948</w:t>
            </w:r>
          </w:p>
        </w:tc>
      </w:tr>
    </w:tbl>
    <w:p w14:paraId="75382A6F" w14:textId="77777777" w:rsidR="003706B1" w:rsidRDefault="003706B1" w:rsidP="00093D0E">
      <w:pPr>
        <w:rPr>
          <w:rFonts w:cs="Times New Roman"/>
          <w:sz w:val="24"/>
          <w:szCs w:val="24"/>
        </w:rPr>
      </w:pPr>
    </w:p>
    <w:p w14:paraId="06C0D83E" w14:textId="77777777" w:rsidR="003706B1" w:rsidRDefault="003706B1" w:rsidP="00093D0E">
      <w:pPr>
        <w:rPr>
          <w:rFonts w:cs="Times New Roman"/>
          <w:sz w:val="24"/>
          <w:szCs w:val="24"/>
        </w:rPr>
      </w:pPr>
    </w:p>
    <w:p w14:paraId="2F347600" w14:textId="77777777" w:rsidR="003706B1" w:rsidRDefault="003706B1" w:rsidP="00093D0E">
      <w:pPr>
        <w:rPr>
          <w:rFonts w:cs="Times New Roman"/>
          <w:sz w:val="24"/>
          <w:szCs w:val="24"/>
        </w:rPr>
      </w:pPr>
      <w:r w:rsidRPr="003706B1">
        <w:rPr>
          <w:rFonts w:cs="Times New Roman"/>
          <w:b/>
          <w:bCs/>
          <w:sz w:val="24"/>
          <w:szCs w:val="24"/>
        </w:rPr>
        <w:t xml:space="preserve">Lines 184-186: </w:t>
      </w:r>
      <w:r>
        <w:rPr>
          <w:rFonts w:cs="Times New Roman"/>
          <w:sz w:val="24"/>
          <w:szCs w:val="24"/>
        </w:rPr>
        <w:t>“</w:t>
      </w:r>
      <w:r w:rsidRPr="003706B1">
        <w:rPr>
          <w:rFonts w:cs="Times New Roman"/>
          <w:sz w:val="24"/>
          <w:szCs w:val="24"/>
          <w:lang w:val="en-GB"/>
        </w:rPr>
        <w:t xml:space="preserve">The </w:t>
      </w:r>
      <w:r w:rsidRPr="003706B1">
        <w:rPr>
          <w:rFonts w:cs="Times New Roman" w:hint="eastAsia"/>
          <w:sz w:val="24"/>
          <w:szCs w:val="24"/>
          <w:lang w:val="en-GB"/>
        </w:rPr>
        <w:t>aggregate</w:t>
      </w:r>
      <w:r w:rsidRPr="003706B1">
        <w:rPr>
          <w:rFonts w:cs="Times New Roman"/>
          <w:sz w:val="24"/>
          <w:szCs w:val="24"/>
          <w:lang w:val="en-GB"/>
        </w:rPr>
        <w:t>d fluorescence spectra of all size-segregated samples resembled the spectra of TSP and PM</w:t>
      </w:r>
      <w:r w:rsidRPr="003706B1">
        <w:rPr>
          <w:rFonts w:cs="Times New Roman"/>
          <w:sz w:val="24"/>
          <w:szCs w:val="24"/>
          <w:vertAlign w:val="subscript"/>
          <w:lang w:val="en-GB"/>
        </w:rPr>
        <w:t>2.5</w:t>
      </w:r>
      <w:r w:rsidRPr="003706B1">
        <w:rPr>
          <w:rFonts w:cs="Times New Roman"/>
          <w:sz w:val="24"/>
          <w:szCs w:val="24"/>
          <w:lang w:val="en-GB"/>
        </w:rPr>
        <w:t xml:space="preserve"> in Figure S1 with some differences in details (Chen et al., 2016a; Qin et al., 2018).</w:t>
      </w:r>
      <w:r>
        <w:rPr>
          <w:rFonts w:cs="Times New Roman"/>
          <w:sz w:val="24"/>
          <w:szCs w:val="24"/>
        </w:rPr>
        <w:t>”</w:t>
      </w:r>
    </w:p>
    <w:p w14:paraId="0A9FAFAD" w14:textId="77777777" w:rsidR="003706B1" w:rsidRPr="003706B1" w:rsidRDefault="003706B1" w:rsidP="003706B1">
      <w:pPr>
        <w:rPr>
          <w:rFonts w:eastAsiaTheme="minorEastAsia"/>
          <w:sz w:val="24"/>
          <w:szCs w:val="24"/>
        </w:rPr>
      </w:pPr>
      <w:r w:rsidRPr="003706B1">
        <w:rPr>
          <w:rFonts w:eastAsiaTheme="minorEastAsia" w:hint="eastAsia"/>
          <w:sz w:val="24"/>
          <w:szCs w:val="24"/>
        </w:rPr>
        <w:t>(</w:t>
      </w:r>
      <w:r w:rsidRPr="003706B1">
        <w:rPr>
          <w:rFonts w:eastAsiaTheme="minorEastAsia"/>
          <w:sz w:val="24"/>
          <w:szCs w:val="24"/>
        </w:rPr>
        <w:t>a)</w:t>
      </w:r>
    </w:p>
    <w:p w14:paraId="2B2332E0" w14:textId="77777777" w:rsidR="003706B1" w:rsidRPr="003706B1" w:rsidRDefault="003706B1" w:rsidP="003706B1">
      <w:pPr>
        <w:rPr>
          <w:rFonts w:eastAsiaTheme="minorEastAsia"/>
          <w:sz w:val="24"/>
          <w:szCs w:val="24"/>
        </w:rPr>
      </w:pPr>
      <w:r w:rsidRPr="003706B1">
        <w:rPr>
          <w:rFonts w:eastAsiaTheme="minorEastAsia"/>
          <w:noProof/>
          <w:sz w:val="24"/>
          <w:szCs w:val="24"/>
        </w:rPr>
        <w:lastRenderedPageBreak/>
        <w:drawing>
          <wp:inline distT="0" distB="0" distL="0" distR="0" wp14:anchorId="4D606FD3" wp14:editId="07AECBA5">
            <wp:extent cx="2520000" cy="21960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3633" t="4932" r="18446" b="6456"/>
                    <a:stretch/>
                  </pic:blipFill>
                  <pic:spPr bwMode="auto">
                    <a:xfrm>
                      <a:off x="0" y="0"/>
                      <a:ext cx="2520000" cy="2196000"/>
                    </a:xfrm>
                    <a:prstGeom prst="rect">
                      <a:avLst/>
                    </a:prstGeom>
                    <a:noFill/>
                    <a:ln>
                      <a:noFill/>
                    </a:ln>
                    <a:extLst>
                      <a:ext uri="{53640926-AAD7-44D8-BBD7-CCE9431645EC}">
                        <a14:shadowObscured xmlns:a14="http://schemas.microsoft.com/office/drawing/2010/main"/>
                      </a:ext>
                    </a:extLst>
                  </pic:spPr>
                </pic:pic>
              </a:graphicData>
            </a:graphic>
          </wp:inline>
        </w:drawing>
      </w:r>
      <w:r w:rsidRPr="003706B1">
        <w:rPr>
          <w:rFonts w:eastAsiaTheme="minorEastAsia"/>
          <w:sz w:val="24"/>
          <w:szCs w:val="24"/>
        </w:rPr>
        <w:t xml:space="preserve"> </w:t>
      </w:r>
      <w:r w:rsidRPr="003706B1">
        <w:rPr>
          <w:rFonts w:eastAsiaTheme="minorEastAsia"/>
          <w:noProof/>
          <w:sz w:val="24"/>
          <w:szCs w:val="24"/>
        </w:rPr>
        <w:drawing>
          <wp:inline distT="0" distB="0" distL="0" distR="0" wp14:anchorId="57C7322F" wp14:editId="0FDD2C97">
            <wp:extent cx="2520000" cy="22176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4070" t="4933" r="18608" b="6238"/>
                    <a:stretch/>
                  </pic:blipFill>
                  <pic:spPr bwMode="auto">
                    <a:xfrm>
                      <a:off x="0" y="0"/>
                      <a:ext cx="2520000" cy="2217600"/>
                    </a:xfrm>
                    <a:prstGeom prst="rect">
                      <a:avLst/>
                    </a:prstGeom>
                    <a:noFill/>
                    <a:ln>
                      <a:noFill/>
                    </a:ln>
                    <a:extLst>
                      <a:ext uri="{53640926-AAD7-44D8-BBD7-CCE9431645EC}">
                        <a14:shadowObscured xmlns:a14="http://schemas.microsoft.com/office/drawing/2010/main"/>
                      </a:ext>
                    </a:extLst>
                  </pic:spPr>
                </pic:pic>
              </a:graphicData>
            </a:graphic>
          </wp:inline>
        </w:drawing>
      </w:r>
    </w:p>
    <w:p w14:paraId="0063899B" w14:textId="77777777" w:rsidR="003706B1" w:rsidRPr="003706B1" w:rsidRDefault="003706B1" w:rsidP="003706B1">
      <w:pPr>
        <w:rPr>
          <w:rFonts w:eastAsiaTheme="minorEastAsia"/>
          <w:sz w:val="24"/>
          <w:szCs w:val="24"/>
        </w:rPr>
      </w:pPr>
      <w:r w:rsidRPr="003706B1">
        <w:rPr>
          <w:rFonts w:eastAsiaTheme="minorEastAsia" w:hint="eastAsia"/>
          <w:sz w:val="24"/>
          <w:szCs w:val="24"/>
        </w:rPr>
        <w:t>(</w:t>
      </w:r>
      <w:r w:rsidRPr="003706B1">
        <w:rPr>
          <w:rFonts w:eastAsiaTheme="minorEastAsia"/>
          <w:sz w:val="24"/>
          <w:szCs w:val="24"/>
        </w:rPr>
        <w:t>b)</w:t>
      </w:r>
    </w:p>
    <w:p w14:paraId="05A2A4B4" w14:textId="77777777" w:rsidR="003706B1" w:rsidRPr="003706B1" w:rsidRDefault="003706B1" w:rsidP="003706B1">
      <w:pPr>
        <w:rPr>
          <w:rFonts w:eastAsiaTheme="minorEastAsia"/>
          <w:sz w:val="24"/>
          <w:szCs w:val="24"/>
        </w:rPr>
      </w:pPr>
      <w:r w:rsidRPr="003706B1">
        <w:rPr>
          <w:rFonts w:eastAsiaTheme="minorEastAsia"/>
          <w:noProof/>
          <w:sz w:val="24"/>
          <w:szCs w:val="24"/>
        </w:rPr>
        <w:drawing>
          <wp:inline distT="0" distB="0" distL="0" distR="0" wp14:anchorId="33044578" wp14:editId="45E9D14E">
            <wp:extent cx="5274310" cy="18923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74310" cy="1892300"/>
                    </a:xfrm>
                    <a:prstGeom prst="rect">
                      <a:avLst/>
                    </a:prstGeom>
                    <a:noFill/>
                    <a:ln>
                      <a:noFill/>
                    </a:ln>
                  </pic:spPr>
                </pic:pic>
              </a:graphicData>
            </a:graphic>
          </wp:inline>
        </w:drawing>
      </w:r>
    </w:p>
    <w:p w14:paraId="4B953301" w14:textId="77777777" w:rsidR="003706B1" w:rsidRPr="003706B1" w:rsidRDefault="003706B1" w:rsidP="003706B1">
      <w:pPr>
        <w:rPr>
          <w:rFonts w:eastAsiaTheme="minorEastAsia"/>
          <w:sz w:val="24"/>
          <w:szCs w:val="24"/>
        </w:rPr>
      </w:pPr>
      <w:r w:rsidRPr="003706B1">
        <w:rPr>
          <w:rFonts w:eastAsiaTheme="minorEastAsia" w:hint="eastAsia"/>
          <w:sz w:val="24"/>
          <w:szCs w:val="24"/>
        </w:rPr>
        <w:t>(</w:t>
      </w:r>
      <w:r w:rsidRPr="003706B1">
        <w:rPr>
          <w:rFonts w:eastAsiaTheme="minorEastAsia"/>
          <w:sz w:val="24"/>
          <w:szCs w:val="24"/>
        </w:rPr>
        <w:t>c)</w:t>
      </w:r>
    </w:p>
    <w:p w14:paraId="35D29C9E" w14:textId="77777777" w:rsidR="003706B1" w:rsidRPr="003706B1" w:rsidRDefault="003706B1" w:rsidP="003706B1">
      <w:pPr>
        <w:rPr>
          <w:rFonts w:eastAsiaTheme="minorEastAsia"/>
          <w:sz w:val="24"/>
          <w:szCs w:val="24"/>
        </w:rPr>
      </w:pPr>
      <w:r w:rsidRPr="003706B1">
        <w:rPr>
          <w:rFonts w:eastAsiaTheme="minorEastAsia"/>
          <w:noProof/>
          <w:sz w:val="24"/>
          <w:szCs w:val="24"/>
        </w:rPr>
        <w:drawing>
          <wp:inline distT="0" distB="0" distL="0" distR="0" wp14:anchorId="360F6678" wp14:editId="07DAC7DD">
            <wp:extent cx="5040000" cy="2440800"/>
            <wp:effectExtent l="0" t="0" r="8255" b="0"/>
            <wp:docPr id="4" name="图片 4" descr="图表, 表面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表, 表面图&#10;&#10;描述已自动生成"/>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40000" cy="2440800"/>
                    </a:xfrm>
                    <a:prstGeom prst="rect">
                      <a:avLst/>
                    </a:prstGeom>
                    <a:noFill/>
                  </pic:spPr>
                </pic:pic>
              </a:graphicData>
            </a:graphic>
          </wp:inline>
        </w:drawing>
      </w:r>
      <w:r w:rsidRPr="003706B1">
        <w:rPr>
          <w:rFonts w:eastAsiaTheme="minorEastAsia"/>
          <w:sz w:val="24"/>
          <w:szCs w:val="24"/>
        </w:rPr>
        <w:t xml:space="preserve"> </w:t>
      </w:r>
    </w:p>
    <w:p w14:paraId="6BCF38A1" w14:textId="77777777" w:rsidR="003706B1" w:rsidRPr="003706B1" w:rsidRDefault="003706B1" w:rsidP="003706B1">
      <w:pPr>
        <w:rPr>
          <w:rFonts w:eastAsiaTheme="minorEastAsia"/>
          <w:noProof/>
          <w:sz w:val="24"/>
          <w:szCs w:val="24"/>
        </w:rPr>
      </w:pPr>
      <w:r w:rsidRPr="003706B1">
        <w:rPr>
          <w:rFonts w:eastAsiaTheme="minorEastAsia"/>
          <w:sz w:val="24"/>
          <w:szCs w:val="24"/>
        </w:rPr>
        <w:t>Figure S</w:t>
      </w:r>
      <w:r w:rsidR="006114A6" w:rsidRPr="003706B1">
        <w:rPr>
          <w:rFonts w:eastAsiaTheme="minorEastAsia"/>
          <w:sz w:val="24"/>
          <w:szCs w:val="24"/>
        </w:rPr>
        <w:fldChar w:fldCharType="begin"/>
      </w:r>
      <w:r w:rsidRPr="003706B1">
        <w:rPr>
          <w:rFonts w:eastAsiaTheme="minorEastAsia"/>
          <w:sz w:val="24"/>
          <w:szCs w:val="24"/>
        </w:rPr>
        <w:instrText xml:space="preserve"> SEQ Figure_S \* ARABIC </w:instrText>
      </w:r>
      <w:r w:rsidR="006114A6" w:rsidRPr="003706B1">
        <w:rPr>
          <w:rFonts w:eastAsiaTheme="minorEastAsia"/>
          <w:sz w:val="24"/>
          <w:szCs w:val="24"/>
        </w:rPr>
        <w:fldChar w:fldCharType="separate"/>
      </w:r>
      <w:r w:rsidRPr="003706B1">
        <w:rPr>
          <w:rFonts w:eastAsiaTheme="minorEastAsia"/>
          <w:noProof/>
          <w:sz w:val="24"/>
          <w:szCs w:val="24"/>
        </w:rPr>
        <w:t>1</w:t>
      </w:r>
      <w:r w:rsidR="006114A6" w:rsidRPr="003706B1">
        <w:rPr>
          <w:rFonts w:eastAsiaTheme="minorEastAsia"/>
          <w:noProof/>
          <w:sz w:val="24"/>
          <w:szCs w:val="24"/>
        </w:rPr>
        <w:fldChar w:fldCharType="end"/>
      </w:r>
      <w:r w:rsidRPr="003706B1">
        <w:rPr>
          <w:rFonts w:eastAsiaTheme="minorEastAsia"/>
          <w:sz w:val="24"/>
          <w:szCs w:val="24"/>
        </w:rPr>
        <w:t xml:space="preserve"> EEM spectra of present research and other studies. (a) The integrate EEM spectra of six-stage particles for winter and summer. (b) and (c) were the fluorophores in </w:t>
      </w:r>
      <w:r w:rsidRPr="003706B1">
        <w:rPr>
          <w:rFonts w:eastAsiaTheme="minorEastAsia"/>
          <w:noProof/>
          <w:sz w:val="24"/>
          <w:szCs w:val="24"/>
        </w:rPr>
        <w:t>Chen et al.(2016) and Qin et al. (2018).</w:t>
      </w:r>
    </w:p>
    <w:p w14:paraId="07BC7386" w14:textId="77777777" w:rsidR="003706B1" w:rsidRDefault="003706B1" w:rsidP="00093D0E">
      <w:pPr>
        <w:rPr>
          <w:rFonts w:cs="Times New Roman"/>
          <w:sz w:val="24"/>
          <w:szCs w:val="24"/>
        </w:rPr>
      </w:pPr>
    </w:p>
    <w:p w14:paraId="63A8990B" w14:textId="77777777" w:rsidR="003706B1" w:rsidRDefault="003706B1" w:rsidP="00093D0E">
      <w:pPr>
        <w:rPr>
          <w:rFonts w:cs="Times New Roman"/>
          <w:sz w:val="24"/>
          <w:szCs w:val="24"/>
        </w:rPr>
      </w:pPr>
      <w:r w:rsidRPr="003706B1">
        <w:rPr>
          <w:rFonts w:cs="Times New Roman"/>
          <w:b/>
          <w:bCs/>
          <w:sz w:val="24"/>
          <w:szCs w:val="24"/>
        </w:rPr>
        <w:t>Lines 189-190:</w:t>
      </w:r>
      <w:r>
        <w:rPr>
          <w:rFonts w:cs="Times New Roman"/>
          <w:sz w:val="24"/>
          <w:szCs w:val="24"/>
        </w:rPr>
        <w:t xml:space="preserve"> “</w:t>
      </w:r>
      <w:r w:rsidRPr="003706B1">
        <w:rPr>
          <w:rFonts w:cs="Times New Roman"/>
          <w:sz w:val="24"/>
          <w:szCs w:val="24"/>
          <w:lang w:val="en-GB"/>
        </w:rPr>
        <w:t>the spectra of fine particles saw wide overlaps with that of PM</w:t>
      </w:r>
      <w:r w:rsidRPr="003706B1">
        <w:rPr>
          <w:rFonts w:cs="Times New Roman"/>
          <w:sz w:val="24"/>
          <w:szCs w:val="24"/>
          <w:vertAlign w:val="subscript"/>
          <w:lang w:val="en-GB"/>
        </w:rPr>
        <w:t>2.5</w:t>
      </w:r>
      <w:r w:rsidRPr="003706B1">
        <w:rPr>
          <w:rFonts w:cs="Times New Roman"/>
          <w:sz w:val="24"/>
          <w:szCs w:val="24"/>
          <w:lang w:val="en-GB"/>
        </w:rPr>
        <w:t xml:space="preserve"> in Figure S2 (matched with anthropogenic sources and secondary sources of our study)</w:t>
      </w:r>
      <w:r>
        <w:rPr>
          <w:rFonts w:cs="Times New Roman"/>
          <w:sz w:val="24"/>
          <w:szCs w:val="24"/>
        </w:rPr>
        <w:t>”</w:t>
      </w:r>
    </w:p>
    <w:p w14:paraId="56043222" w14:textId="77777777" w:rsidR="003706B1" w:rsidRPr="003706B1" w:rsidRDefault="003706B1" w:rsidP="003706B1">
      <w:pPr>
        <w:rPr>
          <w:rFonts w:eastAsiaTheme="minorEastAsia"/>
          <w:sz w:val="24"/>
          <w:szCs w:val="24"/>
        </w:rPr>
      </w:pPr>
      <w:r w:rsidRPr="003706B1">
        <w:rPr>
          <w:rFonts w:eastAsiaTheme="minorEastAsia"/>
          <w:noProof/>
          <w:sz w:val="24"/>
          <w:szCs w:val="24"/>
        </w:rPr>
        <w:lastRenderedPageBreak/>
        <w:drawing>
          <wp:inline distT="0" distB="0" distL="0" distR="0" wp14:anchorId="6F321A96" wp14:editId="7032DA42">
            <wp:extent cx="4967043" cy="1379855"/>
            <wp:effectExtent l="0" t="0" r="5080" b="0"/>
            <wp:docPr id="7" name="图片 7" descr="电脑萤幕画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电脑萤幕画面&#10;&#10;描述已自动生成"/>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346" b="6442"/>
                    <a:stretch/>
                  </pic:blipFill>
                  <pic:spPr bwMode="auto">
                    <a:xfrm>
                      <a:off x="0" y="0"/>
                      <a:ext cx="4967806" cy="1380067"/>
                    </a:xfrm>
                    <a:prstGeom prst="rect">
                      <a:avLst/>
                    </a:prstGeom>
                    <a:noFill/>
                    <a:ln>
                      <a:noFill/>
                    </a:ln>
                    <a:extLst>
                      <a:ext uri="{53640926-AAD7-44D8-BBD7-CCE9431645EC}">
                        <a14:shadowObscured xmlns:a14="http://schemas.microsoft.com/office/drawing/2010/main"/>
                      </a:ext>
                    </a:extLst>
                  </pic:spPr>
                </pic:pic>
              </a:graphicData>
            </a:graphic>
          </wp:inline>
        </w:drawing>
      </w:r>
    </w:p>
    <w:p w14:paraId="7A0414D8" w14:textId="77777777" w:rsidR="003706B1" w:rsidRPr="003706B1" w:rsidRDefault="003706B1" w:rsidP="003706B1">
      <w:pPr>
        <w:rPr>
          <w:rFonts w:eastAsiaTheme="minorEastAsia"/>
          <w:sz w:val="24"/>
          <w:szCs w:val="24"/>
        </w:rPr>
      </w:pPr>
      <w:r w:rsidRPr="003706B1">
        <w:rPr>
          <w:rFonts w:eastAsiaTheme="minorEastAsia"/>
          <w:sz w:val="24"/>
          <w:szCs w:val="24"/>
        </w:rPr>
        <w:t>Figure S</w:t>
      </w:r>
      <w:r w:rsidR="006114A6" w:rsidRPr="003706B1">
        <w:rPr>
          <w:rFonts w:eastAsiaTheme="minorEastAsia"/>
          <w:sz w:val="24"/>
          <w:szCs w:val="24"/>
        </w:rPr>
        <w:fldChar w:fldCharType="begin"/>
      </w:r>
      <w:r w:rsidRPr="003706B1">
        <w:rPr>
          <w:rFonts w:eastAsiaTheme="minorEastAsia"/>
          <w:sz w:val="24"/>
          <w:szCs w:val="24"/>
        </w:rPr>
        <w:instrText xml:space="preserve"> SEQ Figure_S \* ARABIC </w:instrText>
      </w:r>
      <w:r w:rsidR="006114A6" w:rsidRPr="003706B1">
        <w:rPr>
          <w:rFonts w:eastAsiaTheme="minorEastAsia"/>
          <w:sz w:val="24"/>
          <w:szCs w:val="24"/>
        </w:rPr>
        <w:fldChar w:fldCharType="separate"/>
      </w:r>
      <w:r w:rsidRPr="003706B1">
        <w:rPr>
          <w:rFonts w:eastAsiaTheme="minorEastAsia"/>
          <w:noProof/>
          <w:sz w:val="24"/>
          <w:szCs w:val="24"/>
        </w:rPr>
        <w:t>2</w:t>
      </w:r>
      <w:r w:rsidR="006114A6" w:rsidRPr="003706B1">
        <w:rPr>
          <w:rFonts w:eastAsiaTheme="minorEastAsia"/>
          <w:noProof/>
          <w:sz w:val="24"/>
          <w:szCs w:val="24"/>
        </w:rPr>
        <w:fldChar w:fldCharType="end"/>
      </w:r>
      <w:r w:rsidRPr="003706B1">
        <w:rPr>
          <w:rFonts w:eastAsiaTheme="minorEastAsia"/>
          <w:sz w:val="24"/>
          <w:szCs w:val="24"/>
        </w:rPr>
        <w:t xml:space="preserve"> The EEM spectra of coarse mode particles in region Ⅳ were accordant with the fluorescence regions of biogenic sources.</w:t>
      </w:r>
    </w:p>
    <w:p w14:paraId="09A0A226" w14:textId="77777777" w:rsidR="003706B1" w:rsidRPr="003706B1" w:rsidRDefault="003706B1" w:rsidP="00093D0E">
      <w:pPr>
        <w:rPr>
          <w:rFonts w:cs="Times New Roman"/>
          <w:sz w:val="24"/>
          <w:szCs w:val="24"/>
        </w:rPr>
      </w:pPr>
    </w:p>
    <w:p w14:paraId="7279530F" w14:textId="77777777" w:rsidR="003706B1" w:rsidRDefault="003706B1" w:rsidP="00093D0E">
      <w:pPr>
        <w:rPr>
          <w:rFonts w:cs="Times New Roman"/>
          <w:sz w:val="24"/>
          <w:szCs w:val="24"/>
        </w:rPr>
      </w:pPr>
      <w:r>
        <w:rPr>
          <w:rFonts w:cs="Times New Roman"/>
          <w:sz w:val="24"/>
          <w:szCs w:val="24"/>
        </w:rPr>
        <w:t>Line 232: “</w:t>
      </w:r>
      <w:r w:rsidRPr="003706B1">
        <w:rPr>
          <w:rFonts w:cs="Times New Roman"/>
          <w:sz w:val="24"/>
          <w:szCs w:val="24"/>
          <w:lang w:val="en-GB"/>
        </w:rPr>
        <w:t>Size-segregated stokes shift, average SS and η</w:t>
      </w:r>
      <w:r w:rsidRPr="003706B1">
        <w:rPr>
          <w:rFonts w:cs="Times New Roman"/>
          <w:sz w:val="24"/>
          <w:szCs w:val="24"/>
          <w:vertAlign w:val="subscript"/>
          <w:lang w:val="en-GB"/>
        </w:rPr>
        <w:t>SS&gt;1.1</w:t>
      </w:r>
      <w:r w:rsidRPr="003706B1">
        <w:rPr>
          <w:rFonts w:cs="Times New Roman"/>
          <w:sz w:val="24"/>
          <w:szCs w:val="24"/>
          <w:lang w:val="en-GB"/>
        </w:rPr>
        <w:t xml:space="preserve"> were plotted in Figure S4 and Figure S5.</w:t>
      </w:r>
      <w:r>
        <w:rPr>
          <w:rFonts w:cs="Times New Roman"/>
          <w:sz w:val="24"/>
          <w:szCs w:val="24"/>
        </w:rPr>
        <w:t>”</w:t>
      </w:r>
    </w:p>
    <w:p w14:paraId="33745CB0" w14:textId="77777777" w:rsidR="003706B1" w:rsidRPr="003706B1" w:rsidRDefault="003706B1" w:rsidP="003706B1">
      <w:pPr>
        <w:rPr>
          <w:rFonts w:eastAsiaTheme="minorEastAsia"/>
          <w:sz w:val="24"/>
          <w:szCs w:val="24"/>
        </w:rPr>
      </w:pPr>
      <w:r w:rsidRPr="003706B1">
        <w:rPr>
          <w:rFonts w:cs="Times New Roman"/>
          <w:noProof/>
          <w:sz w:val="24"/>
          <w:szCs w:val="24"/>
        </w:rPr>
        <w:drawing>
          <wp:inline distT="0" distB="0" distL="0" distR="0" wp14:anchorId="69EC1A39" wp14:editId="21B6ED7A">
            <wp:extent cx="5040000" cy="2307331"/>
            <wp:effectExtent l="0" t="0" r="0" b="0"/>
            <wp:docPr id="18" name="图片 18"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图表, 直方图&#10;&#10;描述已自动生成"/>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40000" cy="2307331"/>
                    </a:xfrm>
                    <a:prstGeom prst="rect">
                      <a:avLst/>
                    </a:prstGeom>
                    <a:noFill/>
                  </pic:spPr>
                </pic:pic>
              </a:graphicData>
            </a:graphic>
          </wp:inline>
        </w:drawing>
      </w:r>
    </w:p>
    <w:p w14:paraId="121497B1" w14:textId="77777777" w:rsidR="003706B1" w:rsidRPr="003706B1" w:rsidRDefault="003706B1" w:rsidP="003706B1">
      <w:pPr>
        <w:rPr>
          <w:rFonts w:eastAsiaTheme="minorEastAsia"/>
          <w:sz w:val="24"/>
          <w:szCs w:val="24"/>
        </w:rPr>
      </w:pPr>
      <w:r w:rsidRPr="003706B1">
        <w:rPr>
          <w:rFonts w:eastAsiaTheme="minorEastAsia"/>
          <w:sz w:val="24"/>
          <w:szCs w:val="24"/>
        </w:rPr>
        <w:t>Figure S</w:t>
      </w:r>
      <w:r w:rsidR="006114A6" w:rsidRPr="003706B1">
        <w:rPr>
          <w:rFonts w:eastAsiaTheme="minorEastAsia"/>
          <w:sz w:val="24"/>
          <w:szCs w:val="24"/>
        </w:rPr>
        <w:fldChar w:fldCharType="begin"/>
      </w:r>
      <w:r w:rsidRPr="003706B1">
        <w:rPr>
          <w:rFonts w:eastAsiaTheme="minorEastAsia"/>
          <w:sz w:val="24"/>
          <w:szCs w:val="24"/>
        </w:rPr>
        <w:instrText xml:space="preserve"> SEQ Figure_S \* ARABIC </w:instrText>
      </w:r>
      <w:r w:rsidR="006114A6" w:rsidRPr="003706B1">
        <w:rPr>
          <w:rFonts w:eastAsiaTheme="minorEastAsia"/>
          <w:sz w:val="24"/>
          <w:szCs w:val="24"/>
        </w:rPr>
        <w:fldChar w:fldCharType="separate"/>
      </w:r>
      <w:r w:rsidRPr="003706B1">
        <w:rPr>
          <w:rFonts w:eastAsiaTheme="minorEastAsia"/>
          <w:noProof/>
          <w:sz w:val="24"/>
          <w:szCs w:val="24"/>
        </w:rPr>
        <w:t>4</w:t>
      </w:r>
      <w:r w:rsidR="006114A6" w:rsidRPr="003706B1">
        <w:rPr>
          <w:rFonts w:eastAsiaTheme="minorEastAsia"/>
          <w:noProof/>
          <w:sz w:val="24"/>
          <w:szCs w:val="24"/>
        </w:rPr>
        <w:fldChar w:fldCharType="end"/>
      </w:r>
      <w:r w:rsidRPr="003706B1">
        <w:rPr>
          <w:rFonts w:eastAsiaTheme="minorEastAsia"/>
          <w:sz w:val="24"/>
          <w:szCs w:val="24"/>
        </w:rPr>
        <w:t xml:space="preserve"> Stokes shift of fluorescent WSOC in different particle sizes. </w:t>
      </w:r>
      <w:bookmarkStart w:id="4" w:name="_Hlk77275405"/>
      <w:r w:rsidRPr="003706B1">
        <w:rPr>
          <w:rFonts w:eastAsiaTheme="minorEastAsia"/>
          <w:sz w:val="24"/>
          <w:szCs w:val="24"/>
        </w:rPr>
        <w:t xml:space="preserve">Hydrophobic fractions tend to have higher </w:t>
      </w:r>
      <w:r w:rsidRPr="003706B1">
        <w:rPr>
          <w:rFonts w:eastAsiaTheme="minorEastAsia" w:hint="eastAsia"/>
          <w:sz w:val="24"/>
          <w:szCs w:val="24"/>
        </w:rPr>
        <w:t>intensity</w:t>
      </w:r>
      <w:r w:rsidRPr="003706B1">
        <w:rPr>
          <w:rFonts w:eastAsiaTheme="minorEastAsia"/>
          <w:sz w:val="24"/>
          <w:szCs w:val="24"/>
        </w:rPr>
        <w:t xml:space="preserve"> in stokes shifts &gt;1.2, possibly as a result of the larger scale of the π conjugated system or higher π-electron density. In contrast, </w:t>
      </w:r>
      <w:bookmarkStart w:id="5" w:name="_Hlk77270299"/>
      <w:r w:rsidRPr="003706B1">
        <w:rPr>
          <w:rFonts w:eastAsiaTheme="minorEastAsia"/>
          <w:sz w:val="24"/>
          <w:szCs w:val="24"/>
        </w:rPr>
        <w:t>hydrophilic contents</w:t>
      </w:r>
      <w:bookmarkEnd w:id="5"/>
      <w:r w:rsidRPr="003706B1">
        <w:rPr>
          <w:rFonts w:eastAsiaTheme="minorEastAsia"/>
          <w:sz w:val="24"/>
          <w:szCs w:val="24"/>
        </w:rPr>
        <w:t xml:space="preserve"> (such as polysaccharides) usually have lower aromaticity and, hence, smaller π-conjugated systems.</w:t>
      </w:r>
      <w:bookmarkEnd w:id="4"/>
    </w:p>
    <w:p w14:paraId="3B0C2D47" w14:textId="77777777" w:rsidR="003706B1" w:rsidRPr="003706B1" w:rsidRDefault="003706B1" w:rsidP="003706B1">
      <w:pPr>
        <w:rPr>
          <w:rFonts w:eastAsiaTheme="minorEastAsia"/>
          <w:sz w:val="24"/>
          <w:szCs w:val="24"/>
        </w:rPr>
      </w:pPr>
      <w:r w:rsidRPr="003706B1">
        <w:rPr>
          <w:rFonts w:eastAsiaTheme="minorEastAsia" w:hint="eastAsia"/>
          <w:noProof/>
          <w:sz w:val="24"/>
          <w:szCs w:val="24"/>
        </w:rPr>
        <w:drawing>
          <wp:inline distT="0" distB="0" distL="0" distR="0" wp14:anchorId="01C122F6" wp14:editId="6966EF56">
            <wp:extent cx="3240000" cy="16776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r="33632"/>
                    <a:stretch/>
                  </pic:blipFill>
                  <pic:spPr bwMode="auto">
                    <a:xfrm>
                      <a:off x="0" y="0"/>
                      <a:ext cx="3240000" cy="1677600"/>
                    </a:xfrm>
                    <a:prstGeom prst="rect">
                      <a:avLst/>
                    </a:prstGeom>
                    <a:noFill/>
                    <a:ln>
                      <a:noFill/>
                    </a:ln>
                    <a:extLst>
                      <a:ext uri="{53640926-AAD7-44D8-BBD7-CCE9431645EC}">
                        <a14:shadowObscured xmlns:a14="http://schemas.microsoft.com/office/drawing/2010/main"/>
                      </a:ext>
                    </a:extLst>
                  </pic:spPr>
                </pic:pic>
              </a:graphicData>
            </a:graphic>
          </wp:inline>
        </w:drawing>
      </w:r>
      <w:r w:rsidRPr="003706B1">
        <w:rPr>
          <w:rFonts w:eastAsiaTheme="minorEastAsia" w:hint="eastAsia"/>
          <w:sz w:val="24"/>
          <w:szCs w:val="24"/>
        </w:rPr>
        <w:t xml:space="preserve"> </w:t>
      </w:r>
    </w:p>
    <w:p w14:paraId="5D31DDAC" w14:textId="77777777" w:rsidR="003706B1" w:rsidRPr="006E1E8C" w:rsidRDefault="003706B1" w:rsidP="00093D0E">
      <w:pPr>
        <w:rPr>
          <w:rFonts w:cs="Times New Roman"/>
          <w:sz w:val="24"/>
          <w:szCs w:val="24"/>
        </w:rPr>
      </w:pPr>
      <w:r w:rsidRPr="003706B1">
        <w:rPr>
          <w:rFonts w:eastAsiaTheme="minorEastAsia"/>
          <w:sz w:val="24"/>
          <w:szCs w:val="24"/>
        </w:rPr>
        <w:t>Figure S</w:t>
      </w:r>
      <w:r w:rsidR="006114A6" w:rsidRPr="003706B1">
        <w:rPr>
          <w:rFonts w:eastAsiaTheme="minorEastAsia"/>
          <w:sz w:val="24"/>
          <w:szCs w:val="24"/>
        </w:rPr>
        <w:fldChar w:fldCharType="begin"/>
      </w:r>
      <w:r w:rsidRPr="003706B1">
        <w:rPr>
          <w:rFonts w:eastAsiaTheme="minorEastAsia"/>
          <w:sz w:val="24"/>
          <w:szCs w:val="24"/>
        </w:rPr>
        <w:instrText xml:space="preserve"> SEQ Figure_S \* ARABIC </w:instrText>
      </w:r>
      <w:r w:rsidR="006114A6" w:rsidRPr="003706B1">
        <w:rPr>
          <w:rFonts w:eastAsiaTheme="minorEastAsia"/>
          <w:sz w:val="24"/>
          <w:szCs w:val="24"/>
        </w:rPr>
        <w:fldChar w:fldCharType="separate"/>
      </w:r>
      <w:r w:rsidRPr="003706B1">
        <w:rPr>
          <w:rFonts w:eastAsiaTheme="minorEastAsia"/>
          <w:noProof/>
          <w:sz w:val="24"/>
          <w:szCs w:val="24"/>
        </w:rPr>
        <w:t>5</w:t>
      </w:r>
      <w:r w:rsidR="006114A6" w:rsidRPr="003706B1">
        <w:rPr>
          <w:rFonts w:eastAsiaTheme="minorEastAsia"/>
          <w:noProof/>
          <w:sz w:val="24"/>
          <w:szCs w:val="24"/>
        </w:rPr>
        <w:fldChar w:fldCharType="end"/>
      </w:r>
      <w:r w:rsidRPr="003706B1">
        <w:rPr>
          <w:rFonts w:eastAsiaTheme="minorEastAsia"/>
          <w:sz w:val="24"/>
          <w:szCs w:val="24"/>
        </w:rPr>
        <w:t xml:space="preserve"> Some fluorescence indices that were not presented in our article. (a) and (b) were the size distribution of average fluorescence intensity of SS (purple bars) and η</w:t>
      </w:r>
      <w:r w:rsidRPr="003706B1">
        <w:rPr>
          <w:rFonts w:eastAsiaTheme="minorEastAsia"/>
          <w:sz w:val="24"/>
          <w:szCs w:val="24"/>
          <w:vertAlign w:val="subscript"/>
        </w:rPr>
        <w:t xml:space="preserve">SS&gt;1.1 </w:t>
      </w:r>
      <w:r w:rsidRPr="003706B1">
        <w:rPr>
          <w:rFonts w:eastAsiaTheme="minorEastAsia"/>
          <w:sz w:val="24"/>
          <w:szCs w:val="24"/>
        </w:rPr>
        <w:t>(orange lines) for winter and summer</w:t>
      </w:r>
      <w:r w:rsidRPr="003706B1">
        <w:rPr>
          <w:rFonts w:eastAsiaTheme="minorEastAsia" w:hint="eastAsia"/>
          <w:sz w:val="24"/>
          <w:szCs w:val="24"/>
        </w:rPr>
        <w:t>,</w:t>
      </w:r>
      <w:r w:rsidRPr="003706B1">
        <w:rPr>
          <w:rFonts w:eastAsiaTheme="minorEastAsia"/>
          <w:sz w:val="24"/>
          <w:szCs w:val="24"/>
        </w:rPr>
        <w:t xml:space="preserve"> respectively.</w:t>
      </w:r>
    </w:p>
    <w:sectPr w:rsidR="003706B1" w:rsidRPr="006E1E8C" w:rsidSect="00AF6E1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C32012" w14:textId="77777777" w:rsidR="00F448B9" w:rsidRDefault="00F448B9" w:rsidP="00992EB4">
      <w:r>
        <w:separator/>
      </w:r>
    </w:p>
  </w:endnote>
  <w:endnote w:type="continuationSeparator" w:id="0">
    <w:p w14:paraId="65A55F2F" w14:textId="77777777" w:rsidR="00F448B9" w:rsidRDefault="00F448B9" w:rsidP="00992E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EBDD69" w14:textId="77777777" w:rsidR="00F448B9" w:rsidRDefault="00F448B9" w:rsidP="00992EB4">
      <w:r>
        <w:separator/>
      </w:r>
    </w:p>
  </w:footnote>
  <w:footnote w:type="continuationSeparator" w:id="0">
    <w:p w14:paraId="56ECF3A9" w14:textId="77777777" w:rsidR="00F448B9" w:rsidRDefault="00F448B9" w:rsidP="00992EB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682687"/>
    <w:multiLevelType w:val="multilevel"/>
    <w:tmpl w:val="8CC02946"/>
    <w:lvl w:ilvl="0">
      <w:start w:val="1"/>
      <w:numFmt w:val="decimal"/>
      <w:pStyle w:val="1"/>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28864430"/>
    <w:multiLevelType w:val="multilevel"/>
    <w:tmpl w:val="75AE239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58A4621A"/>
    <w:multiLevelType w:val="hybridMultilevel"/>
    <w:tmpl w:val="751A0886"/>
    <w:lvl w:ilvl="0" w:tplc="04F80888">
      <w:start w:val="1"/>
      <w:numFmt w:val="decimal"/>
      <w:lvlText w:val="%1."/>
      <w:lvlJc w:val="left"/>
      <w:pPr>
        <w:ind w:left="420" w:hanging="420"/>
      </w:pPr>
      <w:rPr>
        <w:rFonts w:ascii="Times New Roman" w:hAnsi="Times New Roman" w:hint="default"/>
        <w:sz w:val="24"/>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771A0286"/>
    <w:multiLevelType w:val="hybridMultilevel"/>
    <w:tmpl w:val="9202BC9E"/>
    <w:lvl w:ilvl="0" w:tplc="43486F56">
      <w:start w:val="1"/>
      <w:numFmt w:val="decimal"/>
      <w:lvlText w:val="%1."/>
      <w:lvlJc w:val="left"/>
      <w:pPr>
        <w:ind w:left="360" w:hanging="360"/>
      </w:pPr>
      <w:rPr>
        <w:rFonts w:hint="default"/>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7EB701AB"/>
    <w:multiLevelType w:val="multilevel"/>
    <w:tmpl w:val="DCF2A9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0"/>
  </w:num>
  <w:num w:numId="3">
    <w:abstractNumId w:val="1"/>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yNzAzMzA2NQGSlpYWZko6SsGpxcWZ+XkgBWa1ANwDrvQsAAAA"/>
  </w:docVars>
  <w:rsids>
    <w:rsidRoot w:val="00842087"/>
    <w:rsid w:val="00002FA5"/>
    <w:rsid w:val="0001395E"/>
    <w:rsid w:val="00045893"/>
    <w:rsid w:val="00051F9F"/>
    <w:rsid w:val="00056A8D"/>
    <w:rsid w:val="00061DA7"/>
    <w:rsid w:val="00062596"/>
    <w:rsid w:val="000657C5"/>
    <w:rsid w:val="00072290"/>
    <w:rsid w:val="00086B6D"/>
    <w:rsid w:val="00093D0E"/>
    <w:rsid w:val="00094804"/>
    <w:rsid w:val="000A0F87"/>
    <w:rsid w:val="000C4364"/>
    <w:rsid w:val="000E0C19"/>
    <w:rsid w:val="000E14F1"/>
    <w:rsid w:val="00100A25"/>
    <w:rsid w:val="00111988"/>
    <w:rsid w:val="001222ED"/>
    <w:rsid w:val="0014013C"/>
    <w:rsid w:val="0014620D"/>
    <w:rsid w:val="001500E8"/>
    <w:rsid w:val="00182645"/>
    <w:rsid w:val="00195C20"/>
    <w:rsid w:val="001B3763"/>
    <w:rsid w:val="001D48E3"/>
    <w:rsid w:val="001E1296"/>
    <w:rsid w:val="001E5C51"/>
    <w:rsid w:val="002269D6"/>
    <w:rsid w:val="00237A93"/>
    <w:rsid w:val="00261448"/>
    <w:rsid w:val="002700F8"/>
    <w:rsid w:val="00275497"/>
    <w:rsid w:val="0028330B"/>
    <w:rsid w:val="00296D64"/>
    <w:rsid w:val="002A186C"/>
    <w:rsid w:val="002A76FE"/>
    <w:rsid w:val="002D7E89"/>
    <w:rsid w:val="002E433E"/>
    <w:rsid w:val="002E5A0F"/>
    <w:rsid w:val="002F74A1"/>
    <w:rsid w:val="00301A12"/>
    <w:rsid w:val="00305078"/>
    <w:rsid w:val="0032183A"/>
    <w:rsid w:val="00323345"/>
    <w:rsid w:val="00323C21"/>
    <w:rsid w:val="00325287"/>
    <w:rsid w:val="00337630"/>
    <w:rsid w:val="003618CB"/>
    <w:rsid w:val="003677EF"/>
    <w:rsid w:val="003706B1"/>
    <w:rsid w:val="003760FE"/>
    <w:rsid w:val="00381391"/>
    <w:rsid w:val="003852C8"/>
    <w:rsid w:val="003876E3"/>
    <w:rsid w:val="003A33E2"/>
    <w:rsid w:val="003B2675"/>
    <w:rsid w:val="003B428E"/>
    <w:rsid w:val="003B5AB7"/>
    <w:rsid w:val="003C7410"/>
    <w:rsid w:val="003C784E"/>
    <w:rsid w:val="003D14A9"/>
    <w:rsid w:val="003D717B"/>
    <w:rsid w:val="003F68CD"/>
    <w:rsid w:val="00403FD4"/>
    <w:rsid w:val="00405C3E"/>
    <w:rsid w:val="00421360"/>
    <w:rsid w:val="00422FEA"/>
    <w:rsid w:val="00425F28"/>
    <w:rsid w:val="00427989"/>
    <w:rsid w:val="00437B4D"/>
    <w:rsid w:val="004504D8"/>
    <w:rsid w:val="00451B61"/>
    <w:rsid w:val="00455956"/>
    <w:rsid w:val="00467F47"/>
    <w:rsid w:val="0047502F"/>
    <w:rsid w:val="00485EF9"/>
    <w:rsid w:val="004A4B84"/>
    <w:rsid w:val="004D7FA7"/>
    <w:rsid w:val="004F6AB5"/>
    <w:rsid w:val="004F72CB"/>
    <w:rsid w:val="00513022"/>
    <w:rsid w:val="00513A80"/>
    <w:rsid w:val="00524B53"/>
    <w:rsid w:val="005317FF"/>
    <w:rsid w:val="00546810"/>
    <w:rsid w:val="00561F21"/>
    <w:rsid w:val="0056731B"/>
    <w:rsid w:val="00572EB2"/>
    <w:rsid w:val="0059024C"/>
    <w:rsid w:val="0059067F"/>
    <w:rsid w:val="005B7CA7"/>
    <w:rsid w:val="005C31D3"/>
    <w:rsid w:val="005C59ED"/>
    <w:rsid w:val="005D0C42"/>
    <w:rsid w:val="005E09F5"/>
    <w:rsid w:val="005E1FC5"/>
    <w:rsid w:val="005F3852"/>
    <w:rsid w:val="0060307D"/>
    <w:rsid w:val="006114A6"/>
    <w:rsid w:val="00612681"/>
    <w:rsid w:val="00613611"/>
    <w:rsid w:val="0061364C"/>
    <w:rsid w:val="00662390"/>
    <w:rsid w:val="00673053"/>
    <w:rsid w:val="00675B2E"/>
    <w:rsid w:val="00682F49"/>
    <w:rsid w:val="00684ADA"/>
    <w:rsid w:val="00692880"/>
    <w:rsid w:val="006A0541"/>
    <w:rsid w:val="006A76E2"/>
    <w:rsid w:val="006B2C13"/>
    <w:rsid w:val="006D19FB"/>
    <w:rsid w:val="006D7C9F"/>
    <w:rsid w:val="006E1E8C"/>
    <w:rsid w:val="006F0EFE"/>
    <w:rsid w:val="006F1F5C"/>
    <w:rsid w:val="006F3EDF"/>
    <w:rsid w:val="0071164D"/>
    <w:rsid w:val="007120ED"/>
    <w:rsid w:val="00716001"/>
    <w:rsid w:val="0072309B"/>
    <w:rsid w:val="0072678A"/>
    <w:rsid w:val="0073064C"/>
    <w:rsid w:val="00735F58"/>
    <w:rsid w:val="00744FC6"/>
    <w:rsid w:val="00751C07"/>
    <w:rsid w:val="00767A7D"/>
    <w:rsid w:val="007739E3"/>
    <w:rsid w:val="00781EFD"/>
    <w:rsid w:val="00790683"/>
    <w:rsid w:val="007A45CB"/>
    <w:rsid w:val="007C0ECD"/>
    <w:rsid w:val="007C48F9"/>
    <w:rsid w:val="007D6ABB"/>
    <w:rsid w:val="007E4162"/>
    <w:rsid w:val="007E5421"/>
    <w:rsid w:val="00827B4B"/>
    <w:rsid w:val="00842087"/>
    <w:rsid w:val="0084340A"/>
    <w:rsid w:val="008574CC"/>
    <w:rsid w:val="00865D9E"/>
    <w:rsid w:val="00896834"/>
    <w:rsid w:val="00896ECB"/>
    <w:rsid w:val="008B0F79"/>
    <w:rsid w:val="008C03D9"/>
    <w:rsid w:val="008C17FA"/>
    <w:rsid w:val="008C30C5"/>
    <w:rsid w:val="0092043A"/>
    <w:rsid w:val="00943086"/>
    <w:rsid w:val="00961D35"/>
    <w:rsid w:val="009628D1"/>
    <w:rsid w:val="00964B1B"/>
    <w:rsid w:val="00986397"/>
    <w:rsid w:val="00992EB4"/>
    <w:rsid w:val="009966F3"/>
    <w:rsid w:val="009A3952"/>
    <w:rsid w:val="009A479B"/>
    <w:rsid w:val="009A69C4"/>
    <w:rsid w:val="009B47EC"/>
    <w:rsid w:val="009B556A"/>
    <w:rsid w:val="009C3CB1"/>
    <w:rsid w:val="009D1F33"/>
    <w:rsid w:val="009D42F0"/>
    <w:rsid w:val="009D798E"/>
    <w:rsid w:val="009E136E"/>
    <w:rsid w:val="00A02BB8"/>
    <w:rsid w:val="00A21C5C"/>
    <w:rsid w:val="00A2405F"/>
    <w:rsid w:val="00A35019"/>
    <w:rsid w:val="00A353AE"/>
    <w:rsid w:val="00A37FDC"/>
    <w:rsid w:val="00A44789"/>
    <w:rsid w:val="00A53599"/>
    <w:rsid w:val="00A6781F"/>
    <w:rsid w:val="00A90C81"/>
    <w:rsid w:val="00AA2947"/>
    <w:rsid w:val="00AA4EE6"/>
    <w:rsid w:val="00AA6146"/>
    <w:rsid w:val="00AB17D9"/>
    <w:rsid w:val="00AB6E89"/>
    <w:rsid w:val="00AF2437"/>
    <w:rsid w:val="00AF3C64"/>
    <w:rsid w:val="00AF5DC2"/>
    <w:rsid w:val="00AF6E11"/>
    <w:rsid w:val="00B02E96"/>
    <w:rsid w:val="00B134B1"/>
    <w:rsid w:val="00B30792"/>
    <w:rsid w:val="00B316AC"/>
    <w:rsid w:val="00B560A6"/>
    <w:rsid w:val="00B67F75"/>
    <w:rsid w:val="00B71273"/>
    <w:rsid w:val="00B74667"/>
    <w:rsid w:val="00B76744"/>
    <w:rsid w:val="00B803F4"/>
    <w:rsid w:val="00B84899"/>
    <w:rsid w:val="00B851F6"/>
    <w:rsid w:val="00B95A81"/>
    <w:rsid w:val="00B969D8"/>
    <w:rsid w:val="00BB16F1"/>
    <w:rsid w:val="00BB652E"/>
    <w:rsid w:val="00BB6B80"/>
    <w:rsid w:val="00BB6EF2"/>
    <w:rsid w:val="00BC4864"/>
    <w:rsid w:val="00BF2A17"/>
    <w:rsid w:val="00C00476"/>
    <w:rsid w:val="00C24A60"/>
    <w:rsid w:val="00C352C6"/>
    <w:rsid w:val="00C44FFA"/>
    <w:rsid w:val="00C46048"/>
    <w:rsid w:val="00C64E26"/>
    <w:rsid w:val="00C77D0A"/>
    <w:rsid w:val="00C82D6E"/>
    <w:rsid w:val="00C83CA7"/>
    <w:rsid w:val="00C84065"/>
    <w:rsid w:val="00C86D63"/>
    <w:rsid w:val="00CC647A"/>
    <w:rsid w:val="00CE66BA"/>
    <w:rsid w:val="00CF5A7D"/>
    <w:rsid w:val="00D07FF5"/>
    <w:rsid w:val="00D1373A"/>
    <w:rsid w:val="00D32F77"/>
    <w:rsid w:val="00D46757"/>
    <w:rsid w:val="00D46DA9"/>
    <w:rsid w:val="00D54256"/>
    <w:rsid w:val="00D5762F"/>
    <w:rsid w:val="00D810F7"/>
    <w:rsid w:val="00D969A6"/>
    <w:rsid w:val="00DA1064"/>
    <w:rsid w:val="00DD733A"/>
    <w:rsid w:val="00DE1AAF"/>
    <w:rsid w:val="00DE4C1E"/>
    <w:rsid w:val="00DF14EA"/>
    <w:rsid w:val="00DF50BC"/>
    <w:rsid w:val="00E0488C"/>
    <w:rsid w:val="00E12C02"/>
    <w:rsid w:val="00E528CF"/>
    <w:rsid w:val="00E76E30"/>
    <w:rsid w:val="00E87625"/>
    <w:rsid w:val="00E90E70"/>
    <w:rsid w:val="00EA00B0"/>
    <w:rsid w:val="00EB254F"/>
    <w:rsid w:val="00EE43E2"/>
    <w:rsid w:val="00EF56BB"/>
    <w:rsid w:val="00F0384B"/>
    <w:rsid w:val="00F047B8"/>
    <w:rsid w:val="00F20497"/>
    <w:rsid w:val="00F448B9"/>
    <w:rsid w:val="00F5001D"/>
    <w:rsid w:val="00F654F1"/>
    <w:rsid w:val="00F7683E"/>
    <w:rsid w:val="00F823D3"/>
    <w:rsid w:val="00F92DB6"/>
    <w:rsid w:val="00F94B81"/>
    <w:rsid w:val="00FB4A63"/>
    <w:rsid w:val="00FB5F77"/>
    <w:rsid w:val="00FC044D"/>
    <w:rsid w:val="00FC61D3"/>
    <w:rsid w:val="00FD0DD5"/>
    <w:rsid w:val="00FD2C9A"/>
    <w:rsid w:val="00FD4B35"/>
    <w:rsid w:val="00FF240E"/>
    <w:rsid w:val="00FF4D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ECF918F"/>
  <w15:docId w15:val="{7D4CE996-B3C7-4232-91FC-C148AE663C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A0F87"/>
    <w:pPr>
      <w:widowControl w:val="0"/>
      <w:jc w:val="both"/>
    </w:pPr>
    <w:rPr>
      <w:rFonts w:ascii="Times New Roman" w:eastAsia="宋体" w:hAnsi="Times New Roman"/>
    </w:rPr>
  </w:style>
  <w:style w:type="paragraph" w:styleId="1">
    <w:name w:val="heading 1"/>
    <w:basedOn w:val="a"/>
    <w:next w:val="a"/>
    <w:link w:val="10"/>
    <w:uiPriority w:val="9"/>
    <w:qFormat/>
    <w:rsid w:val="00FB5F77"/>
    <w:pPr>
      <w:keepNext/>
      <w:keepLines/>
      <w:numPr>
        <w:numId w:val="2"/>
      </w:numPr>
      <w:spacing w:line="360" w:lineRule="auto"/>
      <w:outlineLvl w:val="0"/>
    </w:pPr>
    <w:rPr>
      <w:b/>
      <w:bCs/>
      <w:kern w:val="0"/>
      <w:sz w:val="24"/>
      <w:szCs w:val="44"/>
    </w:rPr>
  </w:style>
  <w:style w:type="paragraph" w:styleId="3">
    <w:name w:val="heading 3"/>
    <w:basedOn w:val="a"/>
    <w:next w:val="a"/>
    <w:link w:val="30"/>
    <w:uiPriority w:val="9"/>
    <w:unhideWhenUsed/>
    <w:qFormat/>
    <w:rsid w:val="00FB5F77"/>
    <w:pPr>
      <w:keepNext/>
      <w:keepLines/>
      <w:numPr>
        <w:ilvl w:val="2"/>
        <w:numId w:val="3"/>
      </w:numPr>
      <w:spacing w:line="360" w:lineRule="auto"/>
      <w:outlineLvl w:val="2"/>
    </w:pPr>
    <w:rPr>
      <w:b/>
      <w:bCs/>
      <w:kern w:val="0"/>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FB5F77"/>
    <w:rPr>
      <w:rFonts w:ascii="Times New Roman" w:eastAsia="宋体" w:hAnsi="Times New Roman"/>
      <w:b/>
      <w:bCs/>
      <w:kern w:val="0"/>
      <w:sz w:val="24"/>
      <w:szCs w:val="44"/>
    </w:rPr>
  </w:style>
  <w:style w:type="character" w:customStyle="1" w:styleId="30">
    <w:name w:val="标题 3 字符"/>
    <w:basedOn w:val="a0"/>
    <w:link w:val="3"/>
    <w:uiPriority w:val="9"/>
    <w:rsid w:val="00FB5F77"/>
    <w:rPr>
      <w:rFonts w:ascii="Times New Roman" w:eastAsia="宋体" w:hAnsi="Times New Roman"/>
      <w:b/>
      <w:bCs/>
      <w:kern w:val="0"/>
      <w:szCs w:val="32"/>
    </w:rPr>
  </w:style>
  <w:style w:type="paragraph" w:styleId="a3">
    <w:name w:val="caption"/>
    <w:basedOn w:val="a"/>
    <w:next w:val="a"/>
    <w:uiPriority w:val="35"/>
    <w:unhideWhenUsed/>
    <w:qFormat/>
    <w:rsid w:val="00062596"/>
    <w:rPr>
      <w:rFonts w:cstheme="majorBidi"/>
      <w:sz w:val="18"/>
      <w:szCs w:val="20"/>
    </w:rPr>
  </w:style>
  <w:style w:type="paragraph" w:styleId="a4">
    <w:name w:val="header"/>
    <w:basedOn w:val="a"/>
    <w:link w:val="a5"/>
    <w:uiPriority w:val="99"/>
    <w:unhideWhenUsed/>
    <w:rsid w:val="00992EB4"/>
    <w:pPr>
      <w:pBdr>
        <w:bottom w:val="single" w:sz="6" w:space="1" w:color="auto"/>
      </w:pBdr>
      <w:tabs>
        <w:tab w:val="center" w:pos="4153"/>
        <w:tab w:val="right" w:pos="8306"/>
      </w:tabs>
      <w:snapToGrid w:val="0"/>
      <w:jc w:val="center"/>
    </w:pPr>
    <w:rPr>
      <w:sz w:val="18"/>
      <w:szCs w:val="18"/>
    </w:rPr>
  </w:style>
  <w:style w:type="character" w:customStyle="1" w:styleId="a5">
    <w:name w:val="页眉 字符"/>
    <w:basedOn w:val="a0"/>
    <w:link w:val="a4"/>
    <w:uiPriority w:val="99"/>
    <w:rsid w:val="00992EB4"/>
    <w:rPr>
      <w:rFonts w:ascii="Times New Roman" w:eastAsia="宋体" w:hAnsi="Times New Roman"/>
      <w:sz w:val="18"/>
      <w:szCs w:val="18"/>
    </w:rPr>
  </w:style>
  <w:style w:type="paragraph" w:styleId="a6">
    <w:name w:val="footer"/>
    <w:basedOn w:val="a"/>
    <w:link w:val="a7"/>
    <w:uiPriority w:val="99"/>
    <w:unhideWhenUsed/>
    <w:rsid w:val="00992EB4"/>
    <w:pPr>
      <w:tabs>
        <w:tab w:val="center" w:pos="4153"/>
        <w:tab w:val="right" w:pos="8306"/>
      </w:tabs>
      <w:snapToGrid w:val="0"/>
      <w:jc w:val="left"/>
    </w:pPr>
    <w:rPr>
      <w:sz w:val="18"/>
      <w:szCs w:val="18"/>
    </w:rPr>
  </w:style>
  <w:style w:type="character" w:customStyle="1" w:styleId="a7">
    <w:name w:val="页脚 字符"/>
    <w:basedOn w:val="a0"/>
    <w:link w:val="a6"/>
    <w:uiPriority w:val="99"/>
    <w:rsid w:val="00992EB4"/>
    <w:rPr>
      <w:rFonts w:ascii="Times New Roman" w:eastAsia="宋体" w:hAnsi="Times New Roman"/>
      <w:sz w:val="18"/>
      <w:szCs w:val="18"/>
    </w:rPr>
  </w:style>
  <w:style w:type="paragraph" w:styleId="a8">
    <w:name w:val="List Paragraph"/>
    <w:basedOn w:val="a"/>
    <w:uiPriority w:val="34"/>
    <w:qFormat/>
    <w:rsid w:val="0061364C"/>
    <w:pPr>
      <w:ind w:firstLineChars="200" w:firstLine="420"/>
    </w:pPr>
  </w:style>
  <w:style w:type="paragraph" w:styleId="a9">
    <w:name w:val="Balloon Text"/>
    <w:basedOn w:val="a"/>
    <w:link w:val="aa"/>
    <w:uiPriority w:val="99"/>
    <w:semiHidden/>
    <w:unhideWhenUsed/>
    <w:rsid w:val="00AA6146"/>
    <w:rPr>
      <w:sz w:val="18"/>
      <w:szCs w:val="18"/>
    </w:rPr>
  </w:style>
  <w:style w:type="character" w:customStyle="1" w:styleId="aa">
    <w:name w:val="批注框文本 字符"/>
    <w:basedOn w:val="a0"/>
    <w:link w:val="a9"/>
    <w:uiPriority w:val="99"/>
    <w:semiHidden/>
    <w:rsid w:val="00AA6146"/>
    <w:rPr>
      <w:rFonts w:ascii="Times New Roman" w:eastAsia="宋体" w:hAnsi="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1021/acs.est.9b04596" TargetMode="External"/><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image" Target="media/image8.emf"/><Relationship Id="rId10" Type="http://schemas.openxmlformats.org/officeDocument/2006/relationships/image" Target="media/image3.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1267</TotalTime>
  <Pages>13</Pages>
  <Words>4274</Words>
  <Characters>24367</Characters>
  <Application>Microsoft Office Word</Application>
  <DocSecurity>0</DocSecurity>
  <Lines>203</Lines>
  <Paragraphs>57</Paragraphs>
  <ScaleCrop>false</ScaleCrop>
  <Company/>
  <LinksUpToDate>false</LinksUpToDate>
  <CharactersWithSpaces>28584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vip596</dc:creator>
  <cp:keywords/>
  <dc:description/>
  <cp:lastModifiedBy>vip596</cp:lastModifiedBy>
  <cp:revision>24</cp:revision>
  <dcterms:created xsi:type="dcterms:W3CDTF">2021-07-13T14:32:00Z</dcterms:created>
  <dcterms:modified xsi:type="dcterms:W3CDTF">2021-08-05T07:14:00Z</dcterms:modified>
</cp:coreProperties>
</file>