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61A6" w14:textId="77777777" w:rsidR="00D667D1" w:rsidRDefault="00D667D1" w:rsidP="00571416">
      <w:pPr>
        <w:pageBreakBefore/>
        <w:jc w:val="both"/>
        <w:rPr>
          <w:lang w:val="en-US"/>
        </w:rPr>
      </w:pPr>
      <w:r>
        <w:rPr>
          <w:lang w:val="en-US"/>
        </w:rPr>
        <w:t>Dear Editor,</w:t>
      </w:r>
    </w:p>
    <w:p w14:paraId="31E2D1B4" w14:textId="77777777" w:rsidR="00D667D1" w:rsidRDefault="00D667D1" w:rsidP="00D667D1">
      <w:pPr>
        <w:jc w:val="both"/>
        <w:rPr>
          <w:lang w:val="en-US"/>
        </w:rPr>
      </w:pPr>
    </w:p>
    <w:p w14:paraId="0FE78CFE" w14:textId="6C2B4B3A" w:rsidR="00D667D1" w:rsidRDefault="00D667D1" w:rsidP="00D667D1">
      <w:pPr>
        <w:jc w:val="both"/>
        <w:rPr>
          <w:lang w:val="en-US"/>
        </w:rPr>
      </w:pPr>
      <w:r>
        <w:rPr>
          <w:lang w:val="en-US"/>
        </w:rPr>
        <w:t>We would like to ask for your approval for adjusting the numbers in tables 2 and 3 so that all numbers age given with three significant</w:t>
      </w:r>
      <w:r w:rsidR="00571416">
        <w:rPr>
          <w:lang w:val="en-US"/>
        </w:rPr>
        <w:t xml:space="preserve">. </w:t>
      </w:r>
      <w:r>
        <w:rPr>
          <w:lang w:val="en-US"/>
        </w:rPr>
        <w:t>Please note that none of the actual values will be changed but only the number of significant figures</w:t>
      </w:r>
      <w:r w:rsidR="002471D2">
        <w:rPr>
          <w:lang w:val="en-US"/>
        </w:rPr>
        <w:t>.</w:t>
      </w:r>
    </w:p>
    <w:p w14:paraId="6C363212" w14:textId="06A87C84" w:rsidR="00D667D1" w:rsidRDefault="00D667D1" w:rsidP="00D667D1">
      <w:pPr>
        <w:jc w:val="both"/>
        <w:rPr>
          <w:lang w:val="en-US"/>
        </w:rPr>
      </w:pPr>
      <w:r>
        <w:rPr>
          <w:lang w:val="en-US"/>
        </w:rPr>
        <w:t>Thanks, and best regards,</w:t>
      </w:r>
    </w:p>
    <w:p w14:paraId="3D2D167A" w14:textId="05C42077" w:rsidR="00D667D1" w:rsidRDefault="00D667D1" w:rsidP="00D667D1">
      <w:pPr>
        <w:jc w:val="both"/>
        <w:rPr>
          <w:lang w:val="en-US"/>
        </w:rPr>
      </w:pPr>
    </w:p>
    <w:p w14:paraId="501E160C" w14:textId="103A2D67" w:rsidR="00D667D1" w:rsidRDefault="00D667D1" w:rsidP="00D667D1">
      <w:pPr>
        <w:jc w:val="both"/>
        <w:rPr>
          <w:lang w:val="en-US"/>
        </w:rPr>
      </w:pPr>
      <w:r>
        <w:rPr>
          <w:lang w:val="en-US"/>
        </w:rPr>
        <w:t xml:space="preserve">Susann </w:t>
      </w:r>
    </w:p>
    <w:p w14:paraId="6840A660" w14:textId="77777777" w:rsidR="00D667D1" w:rsidRDefault="00D667D1" w:rsidP="00D667D1">
      <w:pPr>
        <w:rPr>
          <w:lang w:val="en-US"/>
        </w:rPr>
      </w:pPr>
    </w:p>
    <w:p w14:paraId="133B9069" w14:textId="77777777" w:rsidR="00D667D1" w:rsidRPr="009D6C1D" w:rsidRDefault="00D667D1" w:rsidP="00D667D1">
      <w:pPr>
        <w:rPr>
          <w:sz w:val="22"/>
          <w:szCs w:val="22"/>
        </w:rPr>
      </w:pPr>
      <w:r w:rsidRPr="009D6C1D">
        <w:rPr>
          <w:b/>
        </w:rPr>
        <w:t xml:space="preserve">Table 2. </w:t>
      </w:r>
      <w:r w:rsidRPr="009D6C1D">
        <w:t>Emissions of CO, NO</w:t>
      </w:r>
      <w:r w:rsidRPr="009D6C1D">
        <w:rPr>
          <w:vertAlign w:val="subscript"/>
        </w:rPr>
        <w:t>x</w:t>
      </w:r>
      <w:r w:rsidRPr="009D6C1D">
        <w:t>, and SO</w:t>
      </w:r>
      <w:r w:rsidRPr="009D6C1D">
        <w:rPr>
          <w:vertAlign w:val="subscript"/>
        </w:rPr>
        <w:t>2</w:t>
      </w:r>
      <w:r w:rsidRPr="009D6C1D">
        <w:t xml:space="preserve"> from different regions in 2015 and their increase with respect to 2000.</w:t>
      </w:r>
    </w:p>
    <w:p w14:paraId="6F1FD652" w14:textId="77777777" w:rsidR="00D667D1" w:rsidRPr="009D6C1D" w:rsidRDefault="00D667D1" w:rsidP="00D667D1">
      <w:pPr>
        <w:rPr>
          <w:sz w:val="21"/>
          <w:szCs w:val="21"/>
        </w:rPr>
      </w:pPr>
    </w:p>
    <w:tbl>
      <w:tblPr>
        <w:tblW w:w="90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76"/>
        <w:gridCol w:w="1506"/>
        <w:gridCol w:w="1520"/>
        <w:gridCol w:w="1505"/>
        <w:gridCol w:w="1505"/>
        <w:gridCol w:w="1564"/>
      </w:tblGrid>
      <w:tr w:rsidR="00D667D1" w:rsidRPr="009D6C1D" w14:paraId="1AE2FF04" w14:textId="77777777" w:rsidTr="001A4CED">
        <w:trPr>
          <w:trHeight w:val="48"/>
        </w:trPr>
        <w:tc>
          <w:tcPr>
            <w:tcW w:w="1476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0140" w14:textId="77777777" w:rsidR="00D667D1" w:rsidRPr="009D6C1D" w:rsidRDefault="00D667D1" w:rsidP="001A4CED">
            <w:pPr>
              <w:rPr>
                <w:b/>
                <w:sz w:val="20"/>
                <w:szCs w:val="20"/>
              </w:rPr>
            </w:pPr>
            <w:r w:rsidRPr="009D6C1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00" w:type="dxa"/>
            <w:gridSpan w:val="5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2B8A9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Emission in 2015 (Increase with respect to 2000)</w:t>
            </w:r>
          </w:p>
        </w:tc>
      </w:tr>
      <w:tr w:rsidR="00D667D1" w:rsidRPr="009D6C1D" w14:paraId="01180EB7" w14:textId="77777777" w:rsidTr="001A4CED">
        <w:trPr>
          <w:trHeight w:val="425"/>
        </w:trPr>
        <w:tc>
          <w:tcPr>
            <w:tcW w:w="147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E0B35" w14:textId="77777777" w:rsidR="00D667D1" w:rsidRPr="009D6C1D" w:rsidRDefault="00D667D1" w:rsidP="001A4CED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A00E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East Africa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34F1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Middle East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0E50F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South Asia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02C51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East Asia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FE49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Southeast Asia</w:t>
            </w:r>
          </w:p>
        </w:tc>
      </w:tr>
      <w:tr w:rsidR="00D667D1" w:rsidRPr="009D6C1D" w14:paraId="43613BE6" w14:textId="77777777" w:rsidTr="001A4CED">
        <w:trPr>
          <w:trHeight w:val="68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2DF1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CO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3783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26.</w:t>
            </w:r>
            <w:r w:rsidRPr="00E971CA">
              <w:rPr>
                <w:sz w:val="20"/>
                <w:szCs w:val="20"/>
              </w:rPr>
              <w:t>5</w:t>
            </w:r>
            <w:r w:rsidRPr="009D6C1D">
              <w:rPr>
                <w:sz w:val="20"/>
                <w:szCs w:val="20"/>
              </w:rPr>
              <w:t xml:space="preserve">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  <w:r w:rsidRPr="009D6C1D">
              <w:rPr>
                <w:sz w:val="20"/>
                <w:szCs w:val="20"/>
              </w:rPr>
              <w:t xml:space="preserve"> (40%)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9470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>16.</w:t>
            </w:r>
            <w:r w:rsidRPr="00E971CA">
              <w:rPr>
                <w:sz w:val="20"/>
                <w:szCs w:val="20"/>
              </w:rPr>
              <w:t>8</w:t>
            </w:r>
            <w:r w:rsidRPr="009D6C1D">
              <w:rPr>
                <w:sz w:val="20"/>
                <w:szCs w:val="20"/>
              </w:rPr>
              <w:t xml:space="preserve">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7CF567DF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(18%)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ED862" w14:textId="4B4C787E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>9</w:t>
            </w:r>
            <w:r w:rsidRPr="00E971CA">
              <w:rPr>
                <w:sz w:val="20"/>
                <w:szCs w:val="20"/>
              </w:rPr>
              <w:t>4</w:t>
            </w:r>
            <w:r w:rsidR="00571416">
              <w:rPr>
                <w:sz w:val="20"/>
                <w:szCs w:val="20"/>
              </w:rPr>
              <w:t>.0</w:t>
            </w:r>
            <w:r w:rsidRPr="009D6C1D">
              <w:rPr>
                <w:sz w:val="20"/>
                <w:szCs w:val="20"/>
              </w:rPr>
              <w:t xml:space="preserve">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01E029E8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(50%)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457F7" w14:textId="45B3AF5B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 xml:space="preserve">144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149F586E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(15%)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03932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 xml:space="preserve">68.9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496F06B5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(25%)</w:t>
            </w:r>
          </w:p>
        </w:tc>
      </w:tr>
      <w:tr w:rsidR="00D667D1" w:rsidRPr="009D6C1D" w14:paraId="20909900" w14:textId="77777777" w:rsidTr="001A4CED">
        <w:trPr>
          <w:trHeight w:val="66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C0D9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NO</w:t>
            </w:r>
            <w:r w:rsidRPr="009D6C1D">
              <w:rPr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9F397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 xml:space="preserve">0.89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4E12A885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(76%)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7C6CA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 xml:space="preserve">7.27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3CF2105F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(65%)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CFF3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>12.</w:t>
            </w:r>
            <w:r w:rsidRPr="00E971CA">
              <w:rPr>
                <w:sz w:val="20"/>
                <w:szCs w:val="20"/>
              </w:rPr>
              <w:t>5</w:t>
            </w:r>
            <w:r w:rsidRPr="009D6C1D">
              <w:rPr>
                <w:sz w:val="20"/>
                <w:szCs w:val="20"/>
              </w:rPr>
              <w:t xml:space="preserve">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75B86308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(101%)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2E3B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>31.</w:t>
            </w:r>
            <w:r w:rsidRPr="00E971CA">
              <w:rPr>
                <w:sz w:val="20"/>
                <w:szCs w:val="20"/>
              </w:rPr>
              <w:t>4</w:t>
            </w:r>
            <w:r w:rsidRPr="009D6C1D">
              <w:rPr>
                <w:sz w:val="20"/>
                <w:szCs w:val="20"/>
              </w:rPr>
              <w:t xml:space="preserve">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77465EE1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(56%)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C896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 xml:space="preserve">6.28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22C5FD3C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(54%)</w:t>
            </w:r>
          </w:p>
        </w:tc>
      </w:tr>
      <w:tr w:rsidR="00D667D1" w:rsidRPr="009D6C1D" w14:paraId="3F43AF27" w14:textId="77777777" w:rsidTr="001A4CED">
        <w:trPr>
          <w:trHeight w:val="665"/>
        </w:trPr>
        <w:tc>
          <w:tcPr>
            <w:tcW w:w="147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634C" w14:textId="77777777" w:rsidR="00D667D1" w:rsidRPr="009D6C1D" w:rsidRDefault="00D667D1" w:rsidP="001A4CED">
            <w:pPr>
              <w:rPr>
                <w:sz w:val="20"/>
                <w:szCs w:val="20"/>
                <w:vertAlign w:val="subscript"/>
              </w:rPr>
            </w:pPr>
            <w:r w:rsidRPr="009D6C1D">
              <w:rPr>
                <w:sz w:val="20"/>
                <w:szCs w:val="20"/>
              </w:rPr>
              <w:t>SO</w:t>
            </w:r>
            <w:r w:rsidRPr="009D6C1D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53B1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 xml:space="preserve">0.43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29279B86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(67%)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61E92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 xml:space="preserve">7.55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074FBE67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(54%)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3689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>13.</w:t>
            </w:r>
            <w:r w:rsidRPr="00E971CA">
              <w:rPr>
                <w:sz w:val="20"/>
                <w:szCs w:val="20"/>
              </w:rPr>
              <w:t>1</w:t>
            </w:r>
            <w:r w:rsidRPr="009D6C1D">
              <w:rPr>
                <w:sz w:val="20"/>
                <w:szCs w:val="20"/>
              </w:rPr>
              <w:t xml:space="preserve">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0260D354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(120%)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01C6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 xml:space="preserve">34.6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7D88F4FA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(29%)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08D2" w14:textId="77777777" w:rsidR="00D667D1" w:rsidRPr="009D6C1D" w:rsidRDefault="00D667D1" w:rsidP="001A4CED">
            <w:pPr>
              <w:rPr>
                <w:sz w:val="20"/>
                <w:szCs w:val="20"/>
                <w:vertAlign w:val="superscript"/>
              </w:rPr>
            </w:pPr>
            <w:r w:rsidRPr="009D6C1D">
              <w:rPr>
                <w:sz w:val="20"/>
                <w:szCs w:val="20"/>
              </w:rPr>
              <w:t xml:space="preserve">5.42 </w:t>
            </w:r>
            <w:proofErr w:type="spellStart"/>
            <w:r w:rsidRPr="009D6C1D">
              <w:rPr>
                <w:sz w:val="20"/>
                <w:szCs w:val="20"/>
              </w:rPr>
              <w:t>Tg</w:t>
            </w:r>
            <w:proofErr w:type="spellEnd"/>
            <w:r w:rsidRPr="009D6C1D">
              <w:rPr>
                <w:sz w:val="20"/>
                <w:szCs w:val="20"/>
              </w:rPr>
              <w:t xml:space="preserve"> yr</w:t>
            </w:r>
            <w:r w:rsidRPr="009D6C1D">
              <w:rPr>
                <w:sz w:val="20"/>
                <w:szCs w:val="20"/>
                <w:vertAlign w:val="superscript"/>
              </w:rPr>
              <w:t>-1</w:t>
            </w:r>
          </w:p>
          <w:p w14:paraId="2FFE0647" w14:textId="77777777" w:rsidR="00D667D1" w:rsidRPr="009D6C1D" w:rsidRDefault="00D667D1" w:rsidP="001A4CED">
            <w:pPr>
              <w:rPr>
                <w:sz w:val="20"/>
                <w:szCs w:val="20"/>
              </w:rPr>
            </w:pPr>
            <w:r w:rsidRPr="009D6C1D">
              <w:rPr>
                <w:sz w:val="20"/>
                <w:szCs w:val="20"/>
              </w:rPr>
              <w:t>(40%)</w:t>
            </w:r>
          </w:p>
        </w:tc>
      </w:tr>
    </w:tbl>
    <w:p w14:paraId="2D692660" w14:textId="486BEFE3" w:rsidR="00D667D1" w:rsidRDefault="00D667D1" w:rsidP="00D667D1">
      <w:pPr>
        <w:jc w:val="both"/>
        <w:rPr>
          <w:lang w:val="en-US"/>
        </w:rPr>
      </w:pPr>
    </w:p>
    <w:p w14:paraId="35F1FA75" w14:textId="77777777" w:rsidR="00D667D1" w:rsidRDefault="00D667D1" w:rsidP="00D667D1">
      <w:pPr>
        <w:rPr>
          <w:sz w:val="22"/>
          <w:szCs w:val="22"/>
        </w:rPr>
      </w:pPr>
    </w:p>
    <w:p w14:paraId="1F221C38" w14:textId="77777777" w:rsidR="00D667D1" w:rsidRDefault="00D667D1" w:rsidP="00D667D1">
      <w:pPr>
        <w:rPr>
          <w:sz w:val="22"/>
          <w:szCs w:val="22"/>
        </w:rPr>
      </w:pPr>
    </w:p>
    <w:p w14:paraId="7AA14F48" w14:textId="77777777" w:rsidR="00D667D1" w:rsidRPr="00E971CA" w:rsidRDefault="00D667D1" w:rsidP="00D667D1">
      <w:pPr>
        <w:spacing w:line="276" w:lineRule="auto"/>
        <w:jc w:val="both"/>
        <w:rPr>
          <w:color w:val="262626"/>
        </w:rPr>
      </w:pPr>
      <w:r w:rsidRPr="00E971CA">
        <w:rPr>
          <w:b/>
          <w:color w:val="262626"/>
        </w:rPr>
        <w:t>Table 3.</w:t>
      </w:r>
      <w:r w:rsidRPr="00E971CA">
        <w:rPr>
          <w:color w:val="262626"/>
        </w:rPr>
        <w:t xml:space="preserve"> Emissions of CH</w:t>
      </w:r>
      <w:r w:rsidRPr="00E971CA">
        <w:rPr>
          <w:color w:val="262626"/>
          <w:vertAlign w:val="subscript"/>
        </w:rPr>
        <w:t>4</w:t>
      </w:r>
      <w:r w:rsidRPr="00E971CA">
        <w:rPr>
          <w:color w:val="262626"/>
        </w:rPr>
        <w:t>, N</w:t>
      </w:r>
      <w:r w:rsidRPr="00E971CA">
        <w:rPr>
          <w:color w:val="262626"/>
          <w:vertAlign w:val="subscript"/>
        </w:rPr>
        <w:t>2</w:t>
      </w:r>
      <w:r w:rsidRPr="00E971CA">
        <w:rPr>
          <w:color w:val="262626"/>
        </w:rPr>
        <w:t>O, and CO</w:t>
      </w:r>
      <w:r w:rsidRPr="00E971CA">
        <w:rPr>
          <w:color w:val="262626"/>
          <w:vertAlign w:val="subscript"/>
        </w:rPr>
        <w:t>2</w:t>
      </w:r>
      <w:r w:rsidRPr="00E971CA">
        <w:rPr>
          <w:color w:val="262626"/>
        </w:rPr>
        <w:t xml:space="preserve"> from different regions in 2015 and their increase in respect to 2000.</w:t>
      </w:r>
    </w:p>
    <w:tbl>
      <w:tblPr>
        <w:tblW w:w="90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46"/>
        <w:gridCol w:w="1506"/>
        <w:gridCol w:w="1505"/>
        <w:gridCol w:w="1520"/>
        <w:gridCol w:w="1535"/>
        <w:gridCol w:w="1564"/>
      </w:tblGrid>
      <w:tr w:rsidR="00D667D1" w14:paraId="6F046D98" w14:textId="77777777" w:rsidTr="001A4CED">
        <w:trPr>
          <w:trHeight w:val="266"/>
        </w:trPr>
        <w:tc>
          <w:tcPr>
            <w:tcW w:w="14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6D2D" w14:textId="77777777" w:rsidR="00D667D1" w:rsidRPr="00E971CA" w:rsidRDefault="00D667D1" w:rsidP="001A4CED">
            <w:pPr>
              <w:spacing w:line="276" w:lineRule="auto"/>
              <w:jc w:val="both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7630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201A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Emission in 2015 (Increase respect to 2000)</w:t>
            </w:r>
          </w:p>
        </w:tc>
      </w:tr>
      <w:tr w:rsidR="00D667D1" w14:paraId="6D4BCC9C" w14:textId="77777777" w:rsidTr="001A4CED">
        <w:trPr>
          <w:trHeight w:val="425"/>
        </w:trPr>
        <w:tc>
          <w:tcPr>
            <w:tcW w:w="144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4C7E" w14:textId="77777777" w:rsidR="00D667D1" w:rsidRPr="00E971CA" w:rsidRDefault="00D667D1" w:rsidP="001A4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262626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4363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East Africa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D6A0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Middle East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91AA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South Asia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02EC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East Asia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4DB3F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Southeast Asia</w:t>
            </w:r>
          </w:p>
        </w:tc>
      </w:tr>
      <w:tr w:rsidR="00D667D1" w14:paraId="5D58C68E" w14:textId="77777777" w:rsidTr="001A4CED">
        <w:trPr>
          <w:trHeight w:val="680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7CE1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bscript"/>
              </w:rPr>
            </w:pPr>
            <w:r w:rsidRPr="00E971CA">
              <w:rPr>
                <w:color w:val="262626"/>
                <w:sz w:val="20"/>
                <w:szCs w:val="20"/>
              </w:rPr>
              <w:t>CH</w:t>
            </w:r>
            <w:r w:rsidRPr="00E971CA">
              <w:rPr>
                <w:color w:val="262626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6F1F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12.3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</w:t>
            </w:r>
            <w:proofErr w:type="gramStart"/>
            <w:r w:rsidRPr="00E971CA">
              <w:rPr>
                <w:color w:val="262626"/>
                <w:sz w:val="20"/>
                <w:szCs w:val="20"/>
                <w:vertAlign w:val="superscript"/>
              </w:rPr>
              <w:t>1</w:t>
            </w:r>
            <w:r w:rsidRPr="00E971CA">
              <w:rPr>
                <w:color w:val="262626"/>
                <w:sz w:val="20"/>
                <w:szCs w:val="20"/>
              </w:rPr>
              <w:t xml:space="preserve">  (</w:t>
            </w:r>
            <w:proofErr w:type="gramEnd"/>
            <w:r w:rsidRPr="00E971CA">
              <w:rPr>
                <w:color w:val="262626"/>
                <w:sz w:val="20"/>
                <w:szCs w:val="20"/>
              </w:rPr>
              <w:t>50%)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D89F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21.5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4A6E15DE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(50%)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B1C6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47.7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3235E7C0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(24%)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7D1A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68.1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35B42BCF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(34%)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641D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32.8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3C6A840D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(38%)</w:t>
            </w:r>
          </w:p>
        </w:tc>
      </w:tr>
      <w:tr w:rsidR="00D667D1" w14:paraId="124E28C5" w14:textId="77777777" w:rsidTr="001A4CED">
        <w:trPr>
          <w:trHeight w:val="665"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61BA4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N</w:t>
            </w:r>
            <w:r w:rsidRPr="00E971CA">
              <w:rPr>
                <w:color w:val="262626"/>
                <w:sz w:val="20"/>
                <w:szCs w:val="20"/>
                <w:vertAlign w:val="subscript"/>
              </w:rPr>
              <w:t>2</w:t>
            </w:r>
            <w:r w:rsidRPr="00E971CA">
              <w:rPr>
                <w:color w:val="262626"/>
                <w:sz w:val="20"/>
                <w:szCs w:val="20"/>
              </w:rPr>
              <w:t>O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F2531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0.36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7DE28EA1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(51%)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C1C7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0.20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07C4E2E9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(21%)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1C29D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0.91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20D3BCD5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(36%)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E8E7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1.52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7596E897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(15%)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E0AB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0.52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1468C4AF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(26%)</w:t>
            </w:r>
          </w:p>
        </w:tc>
      </w:tr>
      <w:tr w:rsidR="00D667D1" w14:paraId="7B2CE0E4" w14:textId="77777777" w:rsidTr="001A4CED">
        <w:trPr>
          <w:trHeight w:val="665"/>
        </w:trPr>
        <w:tc>
          <w:tcPr>
            <w:tcW w:w="14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D413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bscript"/>
              </w:rPr>
            </w:pPr>
            <w:r w:rsidRPr="00E971CA">
              <w:rPr>
                <w:color w:val="262626"/>
                <w:sz w:val="20"/>
                <w:szCs w:val="20"/>
              </w:rPr>
              <w:t>CO</w:t>
            </w:r>
            <w:r w:rsidRPr="00E971CA">
              <w:rPr>
                <w:color w:val="262626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B3D2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 xml:space="preserve">69.3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68F14DBD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(137%)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2C52" w14:textId="3154D242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>2</w:t>
            </w:r>
            <w:r w:rsidR="00571416">
              <w:rPr>
                <w:color w:val="262626"/>
                <w:sz w:val="20"/>
                <w:szCs w:val="20"/>
              </w:rPr>
              <w:t>.</w:t>
            </w:r>
            <w:r w:rsidRPr="00E971CA">
              <w:rPr>
                <w:color w:val="262626"/>
                <w:sz w:val="20"/>
                <w:szCs w:val="20"/>
              </w:rPr>
              <w:t>06</w:t>
            </w:r>
            <w:r w:rsidR="00571416">
              <w:rPr>
                <w:color w:val="262626"/>
                <w:sz w:val="20"/>
                <w:szCs w:val="20"/>
              </w:rPr>
              <w:t>x10</w:t>
            </w:r>
            <w:r w:rsidR="00571416" w:rsidRPr="00571416">
              <w:rPr>
                <w:color w:val="262626"/>
                <w:sz w:val="20"/>
                <w:szCs w:val="20"/>
                <w:vertAlign w:val="superscript"/>
              </w:rPr>
              <w:t>3</w:t>
            </w:r>
            <w:r w:rsidRPr="00E971CA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14F10568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(93%)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226C" w14:textId="08F11A66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>2</w:t>
            </w:r>
            <w:r w:rsidR="00571416">
              <w:rPr>
                <w:color w:val="262626"/>
                <w:sz w:val="20"/>
                <w:szCs w:val="20"/>
              </w:rPr>
              <w:t>.</w:t>
            </w:r>
            <w:r w:rsidRPr="00E971CA">
              <w:rPr>
                <w:color w:val="262626"/>
                <w:sz w:val="20"/>
                <w:szCs w:val="20"/>
              </w:rPr>
              <w:t>5</w:t>
            </w:r>
            <w:r w:rsidR="00571416">
              <w:rPr>
                <w:color w:val="262626"/>
                <w:sz w:val="20"/>
                <w:szCs w:val="20"/>
              </w:rPr>
              <w:t>7x10</w:t>
            </w:r>
            <w:r w:rsidR="00571416" w:rsidRPr="00571416">
              <w:rPr>
                <w:color w:val="262626"/>
                <w:sz w:val="20"/>
                <w:szCs w:val="20"/>
                <w:vertAlign w:val="superscript"/>
              </w:rPr>
              <w:t>3</w:t>
            </w:r>
            <w:r w:rsidRPr="00E971CA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455A798D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(125%)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FADA" w14:textId="3D222872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>1</w:t>
            </w:r>
            <w:r w:rsidR="00571416">
              <w:rPr>
                <w:color w:val="262626"/>
                <w:sz w:val="20"/>
                <w:szCs w:val="20"/>
              </w:rPr>
              <w:t>.</w:t>
            </w:r>
            <w:r w:rsidRPr="00E971CA">
              <w:rPr>
                <w:color w:val="262626"/>
                <w:sz w:val="20"/>
                <w:szCs w:val="20"/>
              </w:rPr>
              <w:t>30</w:t>
            </w:r>
            <w:r w:rsidR="00571416">
              <w:rPr>
                <w:color w:val="262626"/>
                <w:sz w:val="20"/>
                <w:szCs w:val="20"/>
              </w:rPr>
              <w:t>x10</w:t>
            </w:r>
            <w:r w:rsidR="00571416" w:rsidRPr="00571416">
              <w:rPr>
                <w:color w:val="262626"/>
                <w:sz w:val="20"/>
                <w:szCs w:val="20"/>
                <w:vertAlign w:val="superscript"/>
              </w:rPr>
              <w:t>3</w:t>
            </w:r>
            <w:r w:rsidRPr="00E971CA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09A554DD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(127%)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69B2" w14:textId="2E3FA0D5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  <w:vertAlign w:val="superscript"/>
              </w:rPr>
            </w:pPr>
            <w:r w:rsidRPr="00E971CA">
              <w:rPr>
                <w:color w:val="262626"/>
                <w:sz w:val="20"/>
                <w:szCs w:val="20"/>
              </w:rPr>
              <w:t>1</w:t>
            </w:r>
            <w:r w:rsidR="00571416">
              <w:rPr>
                <w:color w:val="262626"/>
                <w:sz w:val="20"/>
                <w:szCs w:val="20"/>
              </w:rPr>
              <w:t>.</w:t>
            </w:r>
            <w:r w:rsidRPr="00E971CA">
              <w:rPr>
                <w:color w:val="262626"/>
                <w:sz w:val="20"/>
                <w:szCs w:val="20"/>
              </w:rPr>
              <w:t>43</w:t>
            </w:r>
            <w:r w:rsidR="00571416">
              <w:rPr>
                <w:color w:val="262626"/>
                <w:sz w:val="20"/>
                <w:szCs w:val="20"/>
              </w:rPr>
              <w:t xml:space="preserve"> x10</w:t>
            </w:r>
            <w:r w:rsidR="00571416" w:rsidRPr="00571416">
              <w:rPr>
                <w:color w:val="262626"/>
                <w:sz w:val="20"/>
                <w:szCs w:val="20"/>
                <w:vertAlign w:val="superscript"/>
              </w:rPr>
              <w:t>3</w:t>
            </w:r>
            <w:r w:rsidRPr="00E971CA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971CA">
              <w:rPr>
                <w:color w:val="262626"/>
                <w:sz w:val="20"/>
                <w:szCs w:val="20"/>
              </w:rPr>
              <w:t>Tg</w:t>
            </w:r>
            <w:proofErr w:type="spellEnd"/>
            <w:r w:rsidRPr="00E971CA">
              <w:rPr>
                <w:color w:val="262626"/>
                <w:sz w:val="20"/>
                <w:szCs w:val="20"/>
              </w:rPr>
              <w:t xml:space="preserve"> yr</w:t>
            </w:r>
            <w:r w:rsidRPr="00E971CA">
              <w:rPr>
                <w:color w:val="262626"/>
                <w:sz w:val="20"/>
                <w:szCs w:val="20"/>
                <w:vertAlign w:val="superscript"/>
              </w:rPr>
              <w:t>-1</w:t>
            </w:r>
          </w:p>
          <w:p w14:paraId="18A4891D" w14:textId="77777777" w:rsidR="00D667D1" w:rsidRPr="00E971CA" w:rsidRDefault="00D667D1" w:rsidP="001A4CED">
            <w:pPr>
              <w:spacing w:line="276" w:lineRule="auto"/>
              <w:jc w:val="center"/>
              <w:rPr>
                <w:color w:val="262626"/>
                <w:sz w:val="20"/>
                <w:szCs w:val="20"/>
              </w:rPr>
            </w:pPr>
            <w:r w:rsidRPr="00E971CA">
              <w:rPr>
                <w:color w:val="262626"/>
                <w:sz w:val="20"/>
                <w:szCs w:val="20"/>
              </w:rPr>
              <w:t>(79%)</w:t>
            </w:r>
          </w:p>
        </w:tc>
      </w:tr>
    </w:tbl>
    <w:p w14:paraId="44A79844" w14:textId="77777777" w:rsidR="00D667D1" w:rsidRDefault="00D667D1" w:rsidP="00470F62">
      <w:pPr>
        <w:jc w:val="both"/>
      </w:pPr>
    </w:p>
    <w:sectPr w:rsidR="00D667D1" w:rsidSect="00D408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B3"/>
    <w:rsid w:val="00032C02"/>
    <w:rsid w:val="00175578"/>
    <w:rsid w:val="001B7197"/>
    <w:rsid w:val="001D0259"/>
    <w:rsid w:val="002471D2"/>
    <w:rsid w:val="00470F62"/>
    <w:rsid w:val="00571416"/>
    <w:rsid w:val="00602ED1"/>
    <w:rsid w:val="006374C9"/>
    <w:rsid w:val="00690443"/>
    <w:rsid w:val="00942B3A"/>
    <w:rsid w:val="00A758CB"/>
    <w:rsid w:val="00BF4E07"/>
    <w:rsid w:val="00CB2586"/>
    <w:rsid w:val="00CC20B3"/>
    <w:rsid w:val="00CE6A0C"/>
    <w:rsid w:val="00CF58E1"/>
    <w:rsid w:val="00D035A1"/>
    <w:rsid w:val="00D40851"/>
    <w:rsid w:val="00D667D1"/>
    <w:rsid w:val="00F2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BFE9"/>
  <w15:chartTrackingRefBased/>
  <w15:docId w15:val="{3E718724-CB91-3542-8192-232A31D2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F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F6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471D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F4E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Tegtmeier, Susann</dc:creator>
  <cp:keywords/>
  <dc:description/>
  <cp:lastModifiedBy>Katharina Rückert</cp:lastModifiedBy>
  <cp:revision>2</cp:revision>
  <dcterms:created xsi:type="dcterms:W3CDTF">2022-05-17T06:26:00Z</dcterms:created>
  <dcterms:modified xsi:type="dcterms:W3CDTF">2022-05-17T06:26:00Z</dcterms:modified>
</cp:coreProperties>
</file>