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FC" w:rsidRPr="00FE3AFC" w:rsidRDefault="00FE3AFC" w:rsidP="00FE3AFC">
      <w:pPr>
        <w:rPr>
          <w:szCs w:val="24"/>
        </w:rPr>
      </w:pPr>
      <w:r w:rsidRPr="00FE3AFC">
        <w:rPr>
          <w:szCs w:val="24"/>
        </w:rPr>
        <w:t xml:space="preserve">We thank the reviewers for their constructive and helpful suggestions. We have provided our responses to the reviewers’ comments and believe that our manuscript is much improved as a result. </w:t>
      </w:r>
    </w:p>
    <w:p w:rsidR="00DA0E98" w:rsidRDefault="00C9336A" w:rsidP="005D01C6">
      <w:r w:rsidRPr="00C35F09">
        <w:t>The main paper improvements are:</w:t>
      </w:r>
    </w:p>
    <w:p w:rsidR="001D0942" w:rsidRDefault="001D0942" w:rsidP="006F2BCF">
      <w:pPr>
        <w:pStyle w:val="ListParagraph"/>
        <w:numPr>
          <w:ilvl w:val="0"/>
          <w:numId w:val="4"/>
        </w:numPr>
        <w:contextualSpacing w:val="0"/>
      </w:pPr>
      <w:r>
        <w:t>R</w:t>
      </w:r>
      <w:r w:rsidRPr="001D0942">
        <w:t>eference for the implementation of the parametrization</w:t>
      </w:r>
      <w:r>
        <w:t xml:space="preserve"> of </w:t>
      </w:r>
      <w:proofErr w:type="spellStart"/>
      <w:r>
        <w:t>K</w:t>
      </w:r>
      <w:r w:rsidRPr="006F2BCF">
        <w:rPr>
          <w:vertAlign w:val="subscript"/>
        </w:rPr>
        <w:t>zz</w:t>
      </w:r>
      <w:proofErr w:type="spellEnd"/>
      <w:r w:rsidRPr="001D0942">
        <w:t xml:space="preserve"> in the SOCRATES model</w:t>
      </w:r>
      <w:r w:rsidR="009D0BB9">
        <w:t xml:space="preserve"> is added </w:t>
      </w:r>
      <w:r w:rsidR="009D0BB9" w:rsidRPr="006F2BCF">
        <w:rPr>
          <w:b/>
        </w:rPr>
        <w:t>(</w:t>
      </w:r>
      <w:r w:rsidR="00DA5232">
        <w:rPr>
          <w:b/>
        </w:rPr>
        <w:t>P.5, L.12-17</w:t>
      </w:r>
      <w:r w:rsidR="009D0BB9" w:rsidRPr="006F2BCF">
        <w:rPr>
          <w:b/>
        </w:rPr>
        <w:t>)</w:t>
      </w:r>
      <w:r w:rsidR="009D0BB9">
        <w:t xml:space="preserve">: </w:t>
      </w:r>
      <w:r w:rsidR="009D0BB9" w:rsidRPr="009D0BB9">
        <w:t>“</w:t>
      </w:r>
      <w:r w:rsidR="006F2BCF">
        <w:t>In the SOCRATES model two options are available for the pa</w:t>
      </w:r>
      <w:r w:rsidR="007E6A28">
        <w:t>rameterization of</w:t>
      </w:r>
      <w:r w:rsidR="006F2BCF">
        <w:t xml:space="preserve"> the gravity wave forcing and vertical diffusion coefficient (Huang et al., 1998). The default standard option uses the </w:t>
      </w:r>
      <w:proofErr w:type="spellStart"/>
      <w:r w:rsidR="006F2BCF">
        <w:t>Lindzen</w:t>
      </w:r>
      <w:proofErr w:type="spellEnd"/>
      <w:r w:rsidR="006F2BCF">
        <w:t>-Holton gravity wave breaking scheme (</w:t>
      </w:r>
      <w:proofErr w:type="spellStart"/>
      <w:r w:rsidR="006F2BCF">
        <w:t>Lindzen</w:t>
      </w:r>
      <w:proofErr w:type="spellEnd"/>
      <w:r w:rsidR="006F2BCF">
        <w:t xml:space="preserve">, 1981; Holton, 1982). A second option is to use the parameterization scheme developed primarily by </w:t>
      </w:r>
      <w:proofErr w:type="spellStart"/>
      <w:r w:rsidR="006F2BCF">
        <w:t>Fritts</w:t>
      </w:r>
      <w:proofErr w:type="spellEnd"/>
      <w:r w:rsidR="006F2BCF">
        <w:t xml:space="preserve"> and Lu (1993), which uses a general gravity wave spectral formulation provided by the observed gravity wave spectrum to deduce how the gravity wave energy flux responds to variation in the background environment. The first scheme was adopted in the current NIES TM simulation.</w:t>
      </w:r>
      <w:r w:rsidR="009D0BB9" w:rsidRPr="009D0BB9">
        <w:t>”</w:t>
      </w:r>
    </w:p>
    <w:p w:rsidR="001D0942" w:rsidRDefault="001D0942" w:rsidP="009D0BB9">
      <w:pPr>
        <w:pStyle w:val="ListParagraph"/>
        <w:numPr>
          <w:ilvl w:val="0"/>
          <w:numId w:val="4"/>
        </w:numPr>
        <w:ind w:left="714" w:hanging="357"/>
        <w:contextualSpacing w:val="0"/>
      </w:pPr>
      <w:r w:rsidRPr="001D0942">
        <w:t>Minor corrections</w:t>
      </w:r>
      <w:r>
        <w:t xml:space="preserve"> by </w:t>
      </w:r>
      <w:r w:rsidRPr="001D0942">
        <w:t>Anonymous Referee #1</w:t>
      </w:r>
      <w:r>
        <w:t xml:space="preserve"> are revised.</w:t>
      </w:r>
    </w:p>
    <w:p w:rsidR="00DA5232" w:rsidRDefault="008E3B27" w:rsidP="00F827CF">
      <w:pPr>
        <w:pStyle w:val="ListParagraph"/>
        <w:numPr>
          <w:ilvl w:val="0"/>
          <w:numId w:val="4"/>
        </w:numPr>
      </w:pPr>
      <w:r>
        <w:t xml:space="preserve">The </w:t>
      </w:r>
      <w:r w:rsidR="00DA5232" w:rsidRPr="00DA5232">
        <w:t>d</w:t>
      </w:r>
      <w:r>
        <w:t>escription of the model</w:t>
      </w:r>
      <w:r w:rsidR="00DA5232" w:rsidRPr="00DA5232">
        <w:t xml:space="preserve"> vertical grid </w:t>
      </w:r>
      <w:r>
        <w:t>was updated</w:t>
      </w:r>
      <w:r w:rsidR="00DA5232">
        <w:t xml:space="preserve"> </w:t>
      </w:r>
      <w:r w:rsidR="00DA5232" w:rsidRPr="00DA5232">
        <w:rPr>
          <w:b/>
        </w:rPr>
        <w:t>(P.3, L.25-</w:t>
      </w:r>
      <w:r w:rsidR="001959D4">
        <w:rPr>
          <w:b/>
        </w:rPr>
        <w:t>P4.L</w:t>
      </w:r>
      <w:r w:rsidR="001D742A">
        <w:rPr>
          <w:b/>
        </w:rPr>
        <w:t>3</w:t>
      </w:r>
      <w:bookmarkStart w:id="0" w:name="_GoBack"/>
      <w:bookmarkEnd w:id="0"/>
      <w:r w:rsidR="00DA5232" w:rsidRPr="00DA5232">
        <w:rPr>
          <w:b/>
        </w:rPr>
        <w:t>)</w:t>
      </w:r>
      <w:r w:rsidR="00DA5232">
        <w:t>: “The model uses revised version of hybrid-isentropic grid. Original version used isentropic levels above 350 K potential temperature level and sigma levels between surface and 350 K level (</w:t>
      </w:r>
      <w:proofErr w:type="spellStart"/>
      <w:r w:rsidR="00DA5232">
        <w:t>Belikov</w:t>
      </w:r>
      <w:proofErr w:type="spellEnd"/>
      <w:r w:rsidR="00DA5232">
        <w:t xml:space="preserve"> et al., 2013b). A modified hybrid isentropic grid was introduced to simulate better vertical transport above tropopause, extending bottom level of isentropic part to 295 K, as first used in NIES TM simulation for age of air </w:t>
      </w:r>
      <w:proofErr w:type="spellStart"/>
      <w:r w:rsidR="00DA5232">
        <w:t>intercomparison</w:t>
      </w:r>
      <w:proofErr w:type="spellEnd"/>
      <w:r w:rsidR="00DA5232">
        <w:t xml:space="preserve"> study (</w:t>
      </w:r>
      <w:proofErr w:type="spellStart"/>
      <w:r w:rsidR="00DA5232">
        <w:t>Krol</w:t>
      </w:r>
      <w:proofErr w:type="spellEnd"/>
      <w:r w:rsidR="00DA5232">
        <w:t xml:space="preserve"> et al., 2018). To limit application of the isentropic grid to mid to upper troposphere, for each potential temperature level between 295 K and 350 K, a corresponding upper limit for pressure is set at fixed sigma level. For each theta level in a list [295, 300, 305, 310, 315, 320, 330, 340], upper sigma limit is gradually changing from sigma level of 0.6 for 295 K level to 0.35 for 340 K level, as [0.6, 0.54, 0.5, 0.47, 0.44, 0.41, 0.38, 0.35, 0.32]. </w:t>
      </w:r>
      <w:r w:rsidR="00F827CF" w:rsidRPr="00F827CF">
        <w:t xml:space="preserve">For model levels between 295 and 340 K, once the sigma level reaches the prescribed maximum for this model level, vertical transport switches from one based on </w:t>
      </w:r>
      <w:proofErr w:type="spellStart"/>
      <w:r w:rsidR="00F827CF" w:rsidRPr="00F827CF">
        <w:t>diabatic</w:t>
      </w:r>
      <w:proofErr w:type="spellEnd"/>
      <w:r w:rsidR="00F827CF" w:rsidRPr="00F827CF">
        <w:t xml:space="preserve"> heating rate to using vertical wind provided by reanalysis.</w:t>
      </w:r>
      <w:r w:rsidR="00F827CF">
        <w:t xml:space="preserve"> </w:t>
      </w:r>
      <w:r w:rsidRPr="008E3B27">
        <w:t xml:space="preserve">Over the isentropic part of the grid, the vertical transport follows the seasonally varying climatological </w:t>
      </w:r>
      <w:proofErr w:type="spellStart"/>
      <w:r w:rsidRPr="008E3B27">
        <w:t>diabatic</w:t>
      </w:r>
      <w:proofErr w:type="spellEnd"/>
      <w:r w:rsidRPr="008E3B27">
        <w:t xml:space="preserve"> heating rate derived from reanalysis.</w:t>
      </w:r>
      <w:r w:rsidR="00DA5232">
        <w:t>”</w:t>
      </w:r>
    </w:p>
    <w:p w:rsidR="00C9336A" w:rsidRDefault="00C9336A" w:rsidP="00C9336A">
      <w:r w:rsidRPr="00C35F09">
        <w:t>The reviewer</w:t>
      </w:r>
      <w:r w:rsidR="002D031F">
        <w:t>s</w:t>
      </w:r>
      <w:r w:rsidRPr="00C35F09">
        <w:t>’ specific comments (shown in blue) are addressed below.</w:t>
      </w:r>
    </w:p>
    <w:p w:rsidR="00C9336A" w:rsidRDefault="00C9336A">
      <w:pPr>
        <w:rPr>
          <w:szCs w:val="24"/>
        </w:rPr>
      </w:pPr>
      <w:r>
        <w:rPr>
          <w:szCs w:val="24"/>
        </w:rPr>
        <w:br w:type="page"/>
      </w:r>
    </w:p>
    <w:p w:rsidR="0001095D" w:rsidRDefault="0001095D" w:rsidP="0001095D">
      <w:pPr>
        <w:rPr>
          <w:b/>
          <w:color w:val="0000FF"/>
          <w:sz w:val="32"/>
          <w:szCs w:val="24"/>
        </w:rPr>
      </w:pPr>
      <w:r w:rsidRPr="00554FAE">
        <w:rPr>
          <w:b/>
          <w:color w:val="0000FF"/>
          <w:sz w:val="32"/>
          <w:szCs w:val="24"/>
        </w:rPr>
        <w:lastRenderedPageBreak/>
        <w:t>Anonymous Referee #1</w:t>
      </w:r>
    </w:p>
    <w:p w:rsidR="001D0942" w:rsidRPr="001D0942" w:rsidRDefault="001D0942" w:rsidP="001D0942">
      <w:pPr>
        <w:rPr>
          <w:color w:val="0000FF"/>
          <w:szCs w:val="24"/>
        </w:rPr>
      </w:pPr>
      <w:r w:rsidRPr="001D0942">
        <w:rPr>
          <w:color w:val="0000FF"/>
          <w:szCs w:val="24"/>
        </w:rPr>
        <w:t>The authors addressed the reviewer comments adequately so I recommend publication with consideration of the following minor changes.</w:t>
      </w:r>
    </w:p>
    <w:p w:rsidR="001D0942" w:rsidRPr="001D0942" w:rsidRDefault="001D0942" w:rsidP="001D0942">
      <w:pPr>
        <w:rPr>
          <w:color w:val="0000FF"/>
          <w:szCs w:val="24"/>
        </w:rPr>
      </w:pPr>
      <w:r w:rsidRPr="001D0942">
        <w:rPr>
          <w:color w:val="0000FF"/>
          <w:szCs w:val="24"/>
        </w:rPr>
        <w:t>Pg. 6, line 12: add ‘is’ before ‘required’</w:t>
      </w:r>
    </w:p>
    <w:p w:rsidR="001D0942" w:rsidRPr="001D0942" w:rsidRDefault="001D0942" w:rsidP="001D0942">
      <w:pPr>
        <w:rPr>
          <w:color w:val="0000FF"/>
          <w:szCs w:val="24"/>
        </w:rPr>
      </w:pPr>
      <w:r w:rsidRPr="001D0942">
        <w:rPr>
          <w:color w:val="0000FF"/>
          <w:szCs w:val="24"/>
        </w:rPr>
        <w:t>Pg. 7, line 3: add ‘the’ before ‘three terms’</w:t>
      </w:r>
    </w:p>
    <w:p w:rsidR="001D0942" w:rsidRPr="001D0942" w:rsidRDefault="001D0942" w:rsidP="001D0942">
      <w:pPr>
        <w:rPr>
          <w:color w:val="0000FF"/>
          <w:szCs w:val="24"/>
        </w:rPr>
      </w:pPr>
      <w:r w:rsidRPr="001D0942">
        <w:rPr>
          <w:color w:val="0000FF"/>
          <w:szCs w:val="24"/>
        </w:rPr>
        <w:t>Pg. 7, line 9: change to ‘inversely proportional’</w:t>
      </w:r>
    </w:p>
    <w:p w:rsidR="001D0942" w:rsidRPr="001D0942" w:rsidRDefault="001D0942" w:rsidP="001D0942">
      <w:pPr>
        <w:rPr>
          <w:color w:val="0000FF"/>
          <w:szCs w:val="24"/>
        </w:rPr>
      </w:pPr>
      <w:r w:rsidRPr="001D0942">
        <w:rPr>
          <w:color w:val="0000FF"/>
          <w:szCs w:val="24"/>
        </w:rPr>
        <w:t>Pg. 7, line 10: change ‘takes’ to ‘has’, change to ‘cold regions’</w:t>
      </w:r>
    </w:p>
    <w:p w:rsidR="001D0942" w:rsidRPr="001D0942" w:rsidRDefault="001D0942" w:rsidP="001D0942">
      <w:pPr>
        <w:rPr>
          <w:color w:val="0000FF"/>
          <w:szCs w:val="24"/>
        </w:rPr>
      </w:pPr>
      <w:r w:rsidRPr="001D0942">
        <w:rPr>
          <w:color w:val="0000FF"/>
          <w:szCs w:val="24"/>
        </w:rPr>
        <w:t>Pg. 7, line 12: remove ‘For all that,’</w:t>
      </w:r>
    </w:p>
    <w:p w:rsidR="001D0942" w:rsidRPr="001D0942" w:rsidRDefault="001D0942" w:rsidP="001D0942">
      <w:pPr>
        <w:rPr>
          <w:color w:val="0000FF"/>
          <w:szCs w:val="24"/>
        </w:rPr>
      </w:pPr>
      <w:r w:rsidRPr="001D0942">
        <w:rPr>
          <w:color w:val="0000FF"/>
          <w:szCs w:val="24"/>
        </w:rPr>
        <w:t>Pg. 14, line 6: change to ‘values’</w:t>
      </w:r>
    </w:p>
    <w:p w:rsidR="001D0942" w:rsidRPr="001D0942" w:rsidRDefault="001D0942" w:rsidP="001D0942">
      <w:pPr>
        <w:rPr>
          <w:color w:val="0000FF"/>
          <w:szCs w:val="24"/>
        </w:rPr>
      </w:pPr>
      <w:r w:rsidRPr="001D0942">
        <w:rPr>
          <w:color w:val="0000FF"/>
          <w:szCs w:val="24"/>
        </w:rPr>
        <w:t>Pg. 14, line 13: ‘…decreases rapidly for age values older than 4 years,’</w:t>
      </w:r>
    </w:p>
    <w:p w:rsidR="001D0942" w:rsidRPr="001D0942" w:rsidRDefault="001D0942" w:rsidP="001D0942">
      <w:pPr>
        <w:rPr>
          <w:color w:val="0000FF"/>
          <w:szCs w:val="24"/>
        </w:rPr>
      </w:pPr>
      <w:r w:rsidRPr="001D0942">
        <w:rPr>
          <w:color w:val="0000FF"/>
          <w:szCs w:val="24"/>
        </w:rPr>
        <w:t>Pg. 14, line 15: change ‘The’ to ‘This’ and remove comma after ‘significantly’</w:t>
      </w:r>
    </w:p>
    <w:p w:rsidR="001D0942" w:rsidRPr="001D0942" w:rsidRDefault="003E1CD7" w:rsidP="001D0942">
      <w:pPr>
        <w:rPr>
          <w:color w:val="0000FF"/>
          <w:szCs w:val="24"/>
        </w:rPr>
      </w:pPr>
      <w:r>
        <w:t>The above corrections are revised.</w:t>
      </w:r>
    </w:p>
    <w:p w:rsidR="001D0942" w:rsidRDefault="001D0942" w:rsidP="001D0942">
      <w:pPr>
        <w:rPr>
          <w:color w:val="0000FF"/>
          <w:szCs w:val="24"/>
        </w:rPr>
      </w:pPr>
      <w:r w:rsidRPr="001D0942">
        <w:rPr>
          <w:color w:val="0000FF"/>
          <w:szCs w:val="24"/>
        </w:rPr>
        <w:t>Pg. 14, lines 16-18: It appears from Figure 9 that the model-observation discrepancy is significant for nearly all ages, not just for ages older than 4 years. Is there some measure of significance used here to evaluate the differences?</w:t>
      </w:r>
    </w:p>
    <w:p w:rsidR="009D0BB9" w:rsidRPr="001D0942" w:rsidRDefault="00DA5232" w:rsidP="00DA5232">
      <w:r>
        <w:t xml:space="preserve">Agree. The sentence was revised </w:t>
      </w:r>
      <w:r w:rsidRPr="00DA5232">
        <w:rPr>
          <w:b/>
        </w:rPr>
        <w:t>(</w:t>
      </w:r>
      <w:r>
        <w:rPr>
          <w:b/>
        </w:rPr>
        <w:t>P.14, L.8-11</w:t>
      </w:r>
      <w:r w:rsidRPr="00DA5232">
        <w:rPr>
          <w:b/>
        </w:rPr>
        <w:t>)</w:t>
      </w:r>
      <w:r>
        <w:t xml:space="preserve">: “Figure 9 shows a near one-to-one relationship between </w:t>
      </w:r>
      <w:proofErr w:type="spellStart"/>
      <w:r>
        <w:t>AoA</w:t>
      </w:r>
      <w:proofErr w:type="spellEnd"/>
      <w:r>
        <w:t xml:space="preserve"> and GS regardless of latitude and height. Although the model–observation discrepancy is significant for all layers, the distributions of observations show a similar pattern for the lower part of the stratosphere despite large scatter. The positive &lt;δ&gt; values obtained from observations are not reproducible according to the theory.”</w:t>
      </w:r>
    </w:p>
    <w:sectPr w:rsidR="009D0BB9" w:rsidRPr="001D09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98" w:rsidRDefault="001F0B98" w:rsidP="00746CEA">
      <w:pPr>
        <w:spacing w:after="0" w:line="240" w:lineRule="auto"/>
      </w:pPr>
      <w:r>
        <w:separator/>
      </w:r>
    </w:p>
  </w:endnote>
  <w:endnote w:type="continuationSeparator" w:id="0">
    <w:p w:rsidR="001F0B98" w:rsidRDefault="001F0B98" w:rsidP="0074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 w:name="NimbusSanL-Regu">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61345"/>
      <w:docPartObj>
        <w:docPartGallery w:val="Page Numbers (Bottom of Page)"/>
        <w:docPartUnique/>
      </w:docPartObj>
    </w:sdtPr>
    <w:sdtEndPr>
      <w:rPr>
        <w:noProof/>
      </w:rPr>
    </w:sdtEndPr>
    <w:sdtContent>
      <w:p w:rsidR="00746CEA" w:rsidRDefault="00746CEA">
        <w:pPr>
          <w:pStyle w:val="Footer"/>
          <w:jc w:val="right"/>
        </w:pPr>
        <w:r>
          <w:fldChar w:fldCharType="begin"/>
        </w:r>
        <w:r>
          <w:instrText xml:space="preserve"> PAGE   \* MERGEFORMAT </w:instrText>
        </w:r>
        <w:r>
          <w:fldChar w:fldCharType="separate"/>
        </w:r>
        <w:r w:rsidR="001D742A">
          <w:rPr>
            <w:noProof/>
          </w:rPr>
          <w:t>1</w:t>
        </w:r>
        <w:r>
          <w:rPr>
            <w:noProof/>
          </w:rPr>
          <w:fldChar w:fldCharType="end"/>
        </w:r>
      </w:p>
    </w:sdtContent>
  </w:sdt>
  <w:p w:rsidR="00746CEA" w:rsidRDefault="00746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98" w:rsidRDefault="001F0B98" w:rsidP="00746CEA">
      <w:pPr>
        <w:spacing w:after="0" w:line="240" w:lineRule="auto"/>
      </w:pPr>
      <w:r>
        <w:separator/>
      </w:r>
    </w:p>
  </w:footnote>
  <w:footnote w:type="continuationSeparator" w:id="0">
    <w:p w:rsidR="001F0B98" w:rsidRDefault="001F0B98" w:rsidP="0074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18C"/>
    <w:multiLevelType w:val="hybridMultilevel"/>
    <w:tmpl w:val="92E6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07C3A"/>
    <w:multiLevelType w:val="hybridMultilevel"/>
    <w:tmpl w:val="2362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45E3"/>
    <w:multiLevelType w:val="hybridMultilevel"/>
    <w:tmpl w:val="B850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77E74"/>
    <w:multiLevelType w:val="hybridMultilevel"/>
    <w:tmpl w:val="141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98"/>
    <w:rsid w:val="000026F6"/>
    <w:rsid w:val="00007605"/>
    <w:rsid w:val="0001095D"/>
    <w:rsid w:val="00030ED1"/>
    <w:rsid w:val="00042480"/>
    <w:rsid w:val="00060A2A"/>
    <w:rsid w:val="00066A59"/>
    <w:rsid w:val="000966C8"/>
    <w:rsid w:val="00096BD8"/>
    <w:rsid w:val="000C20FC"/>
    <w:rsid w:val="000E0F6C"/>
    <w:rsid w:val="000F0CE4"/>
    <w:rsid w:val="00107E2C"/>
    <w:rsid w:val="00112D42"/>
    <w:rsid w:val="001227D0"/>
    <w:rsid w:val="00126771"/>
    <w:rsid w:val="00141209"/>
    <w:rsid w:val="00146D54"/>
    <w:rsid w:val="0015799B"/>
    <w:rsid w:val="00182F7B"/>
    <w:rsid w:val="001877DB"/>
    <w:rsid w:val="001959D4"/>
    <w:rsid w:val="00195A55"/>
    <w:rsid w:val="001B0AE4"/>
    <w:rsid w:val="001B7153"/>
    <w:rsid w:val="001D0942"/>
    <w:rsid w:val="001D742A"/>
    <w:rsid w:val="001D7C7C"/>
    <w:rsid w:val="001E549B"/>
    <w:rsid w:val="001F0B98"/>
    <w:rsid w:val="001F7CAC"/>
    <w:rsid w:val="0020048F"/>
    <w:rsid w:val="00220FAF"/>
    <w:rsid w:val="00243C03"/>
    <w:rsid w:val="002B0779"/>
    <w:rsid w:val="002B5F39"/>
    <w:rsid w:val="002C66BA"/>
    <w:rsid w:val="002D031F"/>
    <w:rsid w:val="002F570A"/>
    <w:rsid w:val="002F6FD0"/>
    <w:rsid w:val="002F7D9F"/>
    <w:rsid w:val="003017F0"/>
    <w:rsid w:val="003039BF"/>
    <w:rsid w:val="00304E0B"/>
    <w:rsid w:val="00336807"/>
    <w:rsid w:val="00354DC9"/>
    <w:rsid w:val="003603FE"/>
    <w:rsid w:val="00360742"/>
    <w:rsid w:val="00376B72"/>
    <w:rsid w:val="0038494F"/>
    <w:rsid w:val="003A52F9"/>
    <w:rsid w:val="003B3E59"/>
    <w:rsid w:val="003D5568"/>
    <w:rsid w:val="003D76D2"/>
    <w:rsid w:val="003E1CD7"/>
    <w:rsid w:val="003F1F3E"/>
    <w:rsid w:val="003F352F"/>
    <w:rsid w:val="004112B4"/>
    <w:rsid w:val="00413DAF"/>
    <w:rsid w:val="004232D7"/>
    <w:rsid w:val="004511D5"/>
    <w:rsid w:val="00457812"/>
    <w:rsid w:val="00457A95"/>
    <w:rsid w:val="00475F82"/>
    <w:rsid w:val="00480689"/>
    <w:rsid w:val="00484058"/>
    <w:rsid w:val="00494EBD"/>
    <w:rsid w:val="004B4F53"/>
    <w:rsid w:val="004C4766"/>
    <w:rsid w:val="004F4933"/>
    <w:rsid w:val="00506E8A"/>
    <w:rsid w:val="0051228C"/>
    <w:rsid w:val="00530114"/>
    <w:rsid w:val="0054088C"/>
    <w:rsid w:val="005437C3"/>
    <w:rsid w:val="00554FAE"/>
    <w:rsid w:val="005905ED"/>
    <w:rsid w:val="00591D01"/>
    <w:rsid w:val="00596A3D"/>
    <w:rsid w:val="005A65CC"/>
    <w:rsid w:val="005B4ADD"/>
    <w:rsid w:val="005D01C6"/>
    <w:rsid w:val="005E221F"/>
    <w:rsid w:val="005E3609"/>
    <w:rsid w:val="005F3A2F"/>
    <w:rsid w:val="00610C79"/>
    <w:rsid w:val="00616284"/>
    <w:rsid w:val="00665493"/>
    <w:rsid w:val="0067592B"/>
    <w:rsid w:val="006D0C3A"/>
    <w:rsid w:val="006D1BBB"/>
    <w:rsid w:val="006E7AFF"/>
    <w:rsid w:val="006F2BCF"/>
    <w:rsid w:val="00701E02"/>
    <w:rsid w:val="00731515"/>
    <w:rsid w:val="007352E1"/>
    <w:rsid w:val="00745AD9"/>
    <w:rsid w:val="00746CEA"/>
    <w:rsid w:val="00785D1E"/>
    <w:rsid w:val="007A0992"/>
    <w:rsid w:val="007D1148"/>
    <w:rsid w:val="007E6A28"/>
    <w:rsid w:val="007F5F98"/>
    <w:rsid w:val="00803028"/>
    <w:rsid w:val="00851DD8"/>
    <w:rsid w:val="00875F35"/>
    <w:rsid w:val="008A5F16"/>
    <w:rsid w:val="008A6B49"/>
    <w:rsid w:val="008B2194"/>
    <w:rsid w:val="008B6B5C"/>
    <w:rsid w:val="008C2C31"/>
    <w:rsid w:val="008D1772"/>
    <w:rsid w:val="008E3B27"/>
    <w:rsid w:val="008E4020"/>
    <w:rsid w:val="008F0143"/>
    <w:rsid w:val="008F2F6B"/>
    <w:rsid w:val="009065E6"/>
    <w:rsid w:val="00915E71"/>
    <w:rsid w:val="0092596C"/>
    <w:rsid w:val="0095394E"/>
    <w:rsid w:val="00957A2E"/>
    <w:rsid w:val="00982F73"/>
    <w:rsid w:val="009912A9"/>
    <w:rsid w:val="009C1EEE"/>
    <w:rsid w:val="009C498B"/>
    <w:rsid w:val="009D0BB9"/>
    <w:rsid w:val="009F58BD"/>
    <w:rsid w:val="009F7C5C"/>
    <w:rsid w:val="00A001D1"/>
    <w:rsid w:val="00A2214C"/>
    <w:rsid w:val="00A37DB2"/>
    <w:rsid w:val="00A803CB"/>
    <w:rsid w:val="00A9094B"/>
    <w:rsid w:val="00AC4CB5"/>
    <w:rsid w:val="00AC66E1"/>
    <w:rsid w:val="00B06AB9"/>
    <w:rsid w:val="00B13B3C"/>
    <w:rsid w:val="00B4390A"/>
    <w:rsid w:val="00B450B0"/>
    <w:rsid w:val="00B64C0F"/>
    <w:rsid w:val="00B74473"/>
    <w:rsid w:val="00B7563B"/>
    <w:rsid w:val="00B84410"/>
    <w:rsid w:val="00B933C7"/>
    <w:rsid w:val="00BA6AC2"/>
    <w:rsid w:val="00BA7A2F"/>
    <w:rsid w:val="00BB0C9F"/>
    <w:rsid w:val="00BB1827"/>
    <w:rsid w:val="00BC1C1C"/>
    <w:rsid w:val="00BC6035"/>
    <w:rsid w:val="00C020B9"/>
    <w:rsid w:val="00C37B60"/>
    <w:rsid w:val="00C40199"/>
    <w:rsid w:val="00C613C4"/>
    <w:rsid w:val="00C656D1"/>
    <w:rsid w:val="00C9336A"/>
    <w:rsid w:val="00CA6BD0"/>
    <w:rsid w:val="00CC1683"/>
    <w:rsid w:val="00CE183D"/>
    <w:rsid w:val="00D34814"/>
    <w:rsid w:val="00D46FE0"/>
    <w:rsid w:val="00D65A99"/>
    <w:rsid w:val="00D869BF"/>
    <w:rsid w:val="00D90A68"/>
    <w:rsid w:val="00D914F6"/>
    <w:rsid w:val="00DA0E98"/>
    <w:rsid w:val="00DA5232"/>
    <w:rsid w:val="00DD764F"/>
    <w:rsid w:val="00E10DBE"/>
    <w:rsid w:val="00E30652"/>
    <w:rsid w:val="00E424FD"/>
    <w:rsid w:val="00E52862"/>
    <w:rsid w:val="00E60776"/>
    <w:rsid w:val="00E676A8"/>
    <w:rsid w:val="00E7086F"/>
    <w:rsid w:val="00E75BD3"/>
    <w:rsid w:val="00E84708"/>
    <w:rsid w:val="00E87ED4"/>
    <w:rsid w:val="00E963A4"/>
    <w:rsid w:val="00EA155E"/>
    <w:rsid w:val="00EB15C1"/>
    <w:rsid w:val="00EC3622"/>
    <w:rsid w:val="00ED5125"/>
    <w:rsid w:val="00F04382"/>
    <w:rsid w:val="00F0574A"/>
    <w:rsid w:val="00F62B27"/>
    <w:rsid w:val="00F72C5D"/>
    <w:rsid w:val="00F72F5D"/>
    <w:rsid w:val="00F7499D"/>
    <w:rsid w:val="00F7613F"/>
    <w:rsid w:val="00F80E17"/>
    <w:rsid w:val="00F827CF"/>
    <w:rsid w:val="00F92F9A"/>
    <w:rsid w:val="00FB605B"/>
    <w:rsid w:val="00FE3AFC"/>
    <w:rsid w:val="00FE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1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AFC"/>
    <w:pPr>
      <w:ind w:left="720"/>
      <w:contextualSpacing/>
      <w:jc w:val="both"/>
    </w:pPr>
  </w:style>
  <w:style w:type="paragraph" w:styleId="Header">
    <w:name w:val="header"/>
    <w:basedOn w:val="Normal"/>
    <w:link w:val="HeaderChar"/>
    <w:uiPriority w:val="99"/>
    <w:unhideWhenUsed/>
    <w:rsid w:val="00746CEA"/>
    <w:pPr>
      <w:tabs>
        <w:tab w:val="center" w:pos="4844"/>
        <w:tab w:val="right" w:pos="9689"/>
      </w:tabs>
      <w:spacing w:after="0" w:line="240" w:lineRule="auto"/>
    </w:pPr>
  </w:style>
  <w:style w:type="character" w:customStyle="1" w:styleId="HeaderChar">
    <w:name w:val="Header Char"/>
    <w:basedOn w:val="DefaultParagraphFont"/>
    <w:link w:val="Header"/>
    <w:uiPriority w:val="99"/>
    <w:rsid w:val="00746CEA"/>
    <w:rPr>
      <w:rFonts w:asciiTheme="majorHAnsi" w:hAnsiTheme="majorHAnsi"/>
      <w:sz w:val="24"/>
    </w:rPr>
  </w:style>
  <w:style w:type="paragraph" w:styleId="Footer">
    <w:name w:val="footer"/>
    <w:basedOn w:val="Normal"/>
    <w:link w:val="FooterChar"/>
    <w:uiPriority w:val="99"/>
    <w:unhideWhenUsed/>
    <w:rsid w:val="00746CEA"/>
    <w:pPr>
      <w:tabs>
        <w:tab w:val="center" w:pos="4844"/>
        <w:tab w:val="right" w:pos="9689"/>
      </w:tabs>
      <w:spacing w:after="0" w:line="240" w:lineRule="auto"/>
    </w:pPr>
  </w:style>
  <w:style w:type="character" w:customStyle="1" w:styleId="FooterChar">
    <w:name w:val="Footer Char"/>
    <w:basedOn w:val="DefaultParagraphFont"/>
    <w:link w:val="Footer"/>
    <w:uiPriority w:val="99"/>
    <w:rsid w:val="00746CEA"/>
    <w:rPr>
      <w:rFonts w:asciiTheme="majorHAnsi" w:hAnsiTheme="majorHAnsi"/>
      <w:sz w:val="24"/>
    </w:rPr>
  </w:style>
  <w:style w:type="paragraph" w:styleId="BalloonText">
    <w:name w:val="Balloon Text"/>
    <w:basedOn w:val="Normal"/>
    <w:link w:val="BalloonTextChar"/>
    <w:uiPriority w:val="99"/>
    <w:semiHidden/>
    <w:unhideWhenUsed/>
    <w:rsid w:val="0048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58"/>
    <w:rPr>
      <w:rFonts w:ascii="Tahoma" w:hAnsi="Tahoma" w:cs="Tahoma"/>
      <w:sz w:val="16"/>
      <w:szCs w:val="16"/>
    </w:rPr>
  </w:style>
  <w:style w:type="character" w:customStyle="1" w:styleId="fontstyle01">
    <w:name w:val="fontstyle01"/>
    <w:basedOn w:val="DefaultParagraphFont"/>
    <w:rsid w:val="003039BF"/>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9D0BB9"/>
    <w:rPr>
      <w:rFonts w:ascii="NimbusSanL-Regu" w:hAnsi="NimbusSanL-Regu"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1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AFC"/>
    <w:pPr>
      <w:ind w:left="720"/>
      <w:contextualSpacing/>
      <w:jc w:val="both"/>
    </w:pPr>
  </w:style>
  <w:style w:type="paragraph" w:styleId="Header">
    <w:name w:val="header"/>
    <w:basedOn w:val="Normal"/>
    <w:link w:val="HeaderChar"/>
    <w:uiPriority w:val="99"/>
    <w:unhideWhenUsed/>
    <w:rsid w:val="00746CEA"/>
    <w:pPr>
      <w:tabs>
        <w:tab w:val="center" w:pos="4844"/>
        <w:tab w:val="right" w:pos="9689"/>
      </w:tabs>
      <w:spacing w:after="0" w:line="240" w:lineRule="auto"/>
    </w:pPr>
  </w:style>
  <w:style w:type="character" w:customStyle="1" w:styleId="HeaderChar">
    <w:name w:val="Header Char"/>
    <w:basedOn w:val="DefaultParagraphFont"/>
    <w:link w:val="Header"/>
    <w:uiPriority w:val="99"/>
    <w:rsid w:val="00746CEA"/>
    <w:rPr>
      <w:rFonts w:asciiTheme="majorHAnsi" w:hAnsiTheme="majorHAnsi"/>
      <w:sz w:val="24"/>
    </w:rPr>
  </w:style>
  <w:style w:type="paragraph" w:styleId="Footer">
    <w:name w:val="footer"/>
    <w:basedOn w:val="Normal"/>
    <w:link w:val="FooterChar"/>
    <w:uiPriority w:val="99"/>
    <w:unhideWhenUsed/>
    <w:rsid w:val="00746CEA"/>
    <w:pPr>
      <w:tabs>
        <w:tab w:val="center" w:pos="4844"/>
        <w:tab w:val="right" w:pos="9689"/>
      </w:tabs>
      <w:spacing w:after="0" w:line="240" w:lineRule="auto"/>
    </w:pPr>
  </w:style>
  <w:style w:type="character" w:customStyle="1" w:styleId="FooterChar">
    <w:name w:val="Footer Char"/>
    <w:basedOn w:val="DefaultParagraphFont"/>
    <w:link w:val="Footer"/>
    <w:uiPriority w:val="99"/>
    <w:rsid w:val="00746CEA"/>
    <w:rPr>
      <w:rFonts w:asciiTheme="majorHAnsi" w:hAnsiTheme="majorHAnsi"/>
      <w:sz w:val="24"/>
    </w:rPr>
  </w:style>
  <w:style w:type="paragraph" w:styleId="BalloonText">
    <w:name w:val="Balloon Text"/>
    <w:basedOn w:val="Normal"/>
    <w:link w:val="BalloonTextChar"/>
    <w:uiPriority w:val="99"/>
    <w:semiHidden/>
    <w:unhideWhenUsed/>
    <w:rsid w:val="0048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58"/>
    <w:rPr>
      <w:rFonts w:ascii="Tahoma" w:hAnsi="Tahoma" w:cs="Tahoma"/>
      <w:sz w:val="16"/>
      <w:szCs w:val="16"/>
    </w:rPr>
  </w:style>
  <w:style w:type="character" w:customStyle="1" w:styleId="fontstyle01">
    <w:name w:val="fontstyle01"/>
    <w:basedOn w:val="DefaultParagraphFont"/>
    <w:rsid w:val="003039BF"/>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9D0BB9"/>
    <w:rPr>
      <w:rFonts w:ascii="NimbusSanL-Regu" w:hAnsi="NimbusSanL-Regu"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3881">
      <w:bodyDiv w:val="1"/>
      <w:marLeft w:val="0"/>
      <w:marRight w:val="0"/>
      <w:marTop w:val="0"/>
      <w:marBottom w:val="0"/>
      <w:divBdr>
        <w:top w:val="none" w:sz="0" w:space="0" w:color="auto"/>
        <w:left w:val="none" w:sz="0" w:space="0" w:color="auto"/>
        <w:bottom w:val="none" w:sz="0" w:space="0" w:color="auto"/>
        <w:right w:val="none" w:sz="0" w:space="0" w:color="auto"/>
      </w:divBdr>
    </w:div>
    <w:div w:id="305665033">
      <w:bodyDiv w:val="1"/>
      <w:marLeft w:val="0"/>
      <w:marRight w:val="0"/>
      <w:marTop w:val="0"/>
      <w:marBottom w:val="0"/>
      <w:divBdr>
        <w:top w:val="none" w:sz="0" w:space="0" w:color="auto"/>
        <w:left w:val="none" w:sz="0" w:space="0" w:color="auto"/>
        <w:bottom w:val="none" w:sz="0" w:space="0" w:color="auto"/>
        <w:right w:val="none" w:sz="0" w:space="0" w:color="auto"/>
      </w:divBdr>
    </w:div>
    <w:div w:id="14881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E9D9-5F6D-4D74-995A-A14252E5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dmitry</cp:lastModifiedBy>
  <cp:revision>4</cp:revision>
  <cp:lastPrinted>2019-02-12T15:58:00Z</cp:lastPrinted>
  <dcterms:created xsi:type="dcterms:W3CDTF">2019-03-29T03:16:00Z</dcterms:created>
  <dcterms:modified xsi:type="dcterms:W3CDTF">2019-03-29T03:22:00Z</dcterms:modified>
</cp:coreProperties>
</file>