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A4F" w:rsidRDefault="00BE7D1D" w:rsidP="009144AA">
      <w:pPr>
        <w:pStyle w:val="Heading1"/>
        <w:jc w:val="center"/>
        <w:rPr>
          <w:lang w:val="en-US"/>
        </w:rPr>
      </w:pPr>
      <w:r>
        <w:rPr>
          <w:lang w:val="en-US"/>
        </w:rPr>
        <w:t>Supplemental Material</w:t>
      </w:r>
    </w:p>
    <w:p w:rsidR="000B3A99" w:rsidRDefault="000B3A99" w:rsidP="000B3A99">
      <w:pPr>
        <w:rPr>
          <w:lang w:val="en-US"/>
        </w:rPr>
      </w:pPr>
    </w:p>
    <w:p w:rsidR="000B3A99" w:rsidRDefault="00A6254D" w:rsidP="000B3A99">
      <w:r>
        <w:t>Limitations on</w:t>
      </w:r>
      <w:r w:rsidR="000B3A99">
        <w:t xml:space="preserve"> </w:t>
      </w:r>
      <w:r w:rsidR="00442969">
        <w:t xml:space="preserve">model </w:t>
      </w:r>
      <w:r w:rsidR="000B3A99">
        <w:t>simulation</w:t>
      </w:r>
      <w:r>
        <w:t>s</w:t>
      </w:r>
      <w:r w:rsidR="000B3A99">
        <w:t xml:space="preserve"> of CO2 transport due to the use of imperfect atmospheric analyses</w:t>
      </w:r>
    </w:p>
    <w:p w:rsidR="000B3A99" w:rsidRPr="000B3A99" w:rsidRDefault="000B3A99" w:rsidP="000B3A99">
      <w:r>
        <w:t xml:space="preserve">Saroja M. Polavarapu, Michael Neish, Monique Tanguay, Claude Girard, Jean </w:t>
      </w:r>
      <w:proofErr w:type="spellStart"/>
      <w:r>
        <w:t>deGrandpré</w:t>
      </w:r>
      <w:proofErr w:type="spellEnd"/>
      <w:r>
        <w:t xml:space="preserve">, Kirill Semeniuk, Sylvie Gravel, Shuzhan Ren, </w:t>
      </w:r>
      <w:proofErr w:type="spellStart"/>
      <w:r>
        <w:t>Sébastien</w:t>
      </w:r>
      <w:proofErr w:type="spellEnd"/>
      <w:r>
        <w:t xml:space="preserve"> Roche, Douglas Chan and Kimberly Strong</w:t>
      </w:r>
    </w:p>
    <w:p w:rsidR="009144AA" w:rsidRDefault="009144AA" w:rsidP="009144AA">
      <w:pPr>
        <w:rPr>
          <w:lang w:val="en-US"/>
        </w:rPr>
      </w:pPr>
    </w:p>
    <w:p w:rsidR="009144AA" w:rsidRDefault="009144AA" w:rsidP="009144AA">
      <w:pPr>
        <w:rPr>
          <w:lang w:val="en-US"/>
        </w:rPr>
      </w:pPr>
    </w:p>
    <w:p w:rsidR="00372E79" w:rsidRDefault="009144AA" w:rsidP="009144AA">
      <w:pPr>
        <w:rPr>
          <w:lang w:val="en-GB"/>
        </w:rPr>
      </w:pPr>
      <w:r w:rsidRPr="00D83EAE">
        <w:rPr>
          <w:b/>
          <w:lang w:val="en-GB"/>
        </w:rPr>
        <w:t xml:space="preserve">Figure </w:t>
      </w:r>
      <w:r w:rsidR="00372E79" w:rsidRPr="00D83EAE">
        <w:rPr>
          <w:b/>
          <w:lang w:val="en-GB"/>
        </w:rPr>
        <w:t>S</w:t>
      </w:r>
      <w:r w:rsidRPr="00D83EAE">
        <w:rPr>
          <w:b/>
          <w:lang w:val="en-GB"/>
        </w:rPr>
        <w:t>1</w:t>
      </w:r>
      <w:r>
        <w:rPr>
          <w:lang w:val="en-GB"/>
        </w:rPr>
        <w:t xml:space="preserve">.  </w:t>
      </w:r>
      <w:r w:rsidR="00372E79" w:rsidRPr="00372E79">
        <w:rPr>
          <w:lang w:val="en-GB"/>
        </w:rPr>
        <w:t>sp105_mn100_mn105_sp105_zonal_diffCO2.avi</w:t>
      </w:r>
    </w:p>
    <w:p w:rsidR="00372E79" w:rsidRDefault="00372E79" w:rsidP="009144AA">
      <w:pPr>
        <w:rPr>
          <w:lang w:val="en-GB"/>
        </w:rPr>
      </w:pPr>
      <w:r>
        <w:rPr>
          <w:lang w:val="en-GB"/>
        </w:rPr>
        <w:t xml:space="preserve">Figure S1 shows an animation of the impact of changing </w:t>
      </w:r>
      <w:proofErr w:type="spellStart"/>
      <w:r>
        <w:rPr>
          <w:lang w:val="en-GB"/>
        </w:rPr>
        <w:t>Kain</w:t>
      </w:r>
      <w:proofErr w:type="spellEnd"/>
      <w:r>
        <w:rPr>
          <w:lang w:val="en-GB"/>
        </w:rPr>
        <w:t>-Fritsch parameters  (left) versus that of adding convective transport of tracers (right) during 2009.  Zonal mean values are computed once per day at 0 UTC.  Units are ppm.</w:t>
      </w:r>
    </w:p>
    <w:p w:rsidR="00372E79" w:rsidRDefault="00372E79" w:rsidP="009144AA">
      <w:pPr>
        <w:rPr>
          <w:lang w:val="en-GB"/>
        </w:rPr>
      </w:pPr>
    </w:p>
    <w:p w:rsidR="00372E79" w:rsidRDefault="00372E79" w:rsidP="009144AA">
      <w:pPr>
        <w:rPr>
          <w:lang w:val="en-GB"/>
        </w:rPr>
      </w:pPr>
      <w:r w:rsidRPr="00D83EAE">
        <w:rPr>
          <w:b/>
          <w:lang w:val="en-GB"/>
        </w:rPr>
        <w:t>Figure S2</w:t>
      </w:r>
      <w:r>
        <w:rPr>
          <w:lang w:val="en-GB"/>
        </w:rPr>
        <w:t xml:space="preserve">. </w:t>
      </w:r>
      <w:r w:rsidRPr="00372E79">
        <w:rPr>
          <w:lang w:val="en-GB"/>
        </w:rPr>
        <w:t>sp105_mn100_mn105_sp105_XCO2_diff.avi</w:t>
      </w:r>
    </w:p>
    <w:p w:rsidR="00372E79" w:rsidRDefault="00372E79" w:rsidP="009144AA">
      <w:pPr>
        <w:rPr>
          <w:szCs w:val="16"/>
          <w:lang w:val="en-GB"/>
        </w:rPr>
      </w:pPr>
      <w:r>
        <w:rPr>
          <w:szCs w:val="16"/>
          <w:lang w:val="en-GB"/>
        </w:rPr>
        <w:t xml:space="preserve">Figure S2 shows an animation of the impact of changing </w:t>
      </w:r>
      <w:proofErr w:type="spellStart"/>
      <w:r>
        <w:rPr>
          <w:szCs w:val="16"/>
          <w:lang w:val="en-GB"/>
        </w:rPr>
        <w:t>Kain</w:t>
      </w:r>
      <w:proofErr w:type="spellEnd"/>
      <w:r>
        <w:rPr>
          <w:szCs w:val="16"/>
          <w:lang w:val="en-GB"/>
        </w:rPr>
        <w:t>-Fritsch parameters (top) versus that of adding convective transport of tracers (bottom) during 2009.  Column mean values are computed once per day at 0 UTC.  Units are ppm.</w:t>
      </w:r>
    </w:p>
    <w:p w:rsidR="0076726E" w:rsidRDefault="007E3579" w:rsidP="0010420D">
      <w:pPr>
        <w:jc w:val="center"/>
        <w:rPr>
          <w:szCs w:val="16"/>
          <w:lang w:val="en-GB"/>
        </w:rPr>
      </w:pPr>
      <w:r>
        <w:rPr>
          <w:noProof/>
          <w:szCs w:val="16"/>
          <w:lang w:eastAsia="en-CA"/>
        </w:rPr>
        <w:lastRenderedPageBreak/>
        <w:drawing>
          <wp:inline distT="0" distB="0" distL="0" distR="0">
            <wp:extent cx="5943600" cy="713232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nalyses_TUV_dec200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26E" w:rsidRPr="007F3371" w:rsidRDefault="0076726E" w:rsidP="0076726E">
      <w:pPr>
        <w:rPr>
          <w:lang w:val="en-US"/>
        </w:rPr>
      </w:pPr>
      <w:r w:rsidRPr="00D83EAE">
        <w:rPr>
          <w:b/>
          <w:lang w:val="en-US"/>
        </w:rPr>
        <w:t>Figure S3</w:t>
      </w:r>
      <w:r>
        <w:rPr>
          <w:lang w:val="en-US"/>
        </w:rPr>
        <w:t xml:space="preserve">: Comparison of GEM-MACH-GHG meteorological analyses with other </w:t>
      </w:r>
      <w:proofErr w:type="spellStart"/>
      <w:r>
        <w:rPr>
          <w:lang w:val="en-US"/>
        </w:rPr>
        <w:t>reanalyses</w:t>
      </w:r>
      <w:proofErr w:type="spellEnd"/>
      <w:r>
        <w:rPr>
          <w:lang w:val="en-US"/>
        </w:rPr>
        <w:t xml:space="preserve"> for December 2009.  Monthly and zonal means of differences with ERA-Interim fields of GEM-MACH-GHG (left column), MERRA (middle column) and JRA55 (right column) are shown for temperature in K (top row), </w:t>
      </w:r>
      <w:proofErr w:type="gramStart"/>
      <w:r>
        <w:rPr>
          <w:lang w:val="en-US"/>
        </w:rPr>
        <w:t>zonal</w:t>
      </w:r>
      <w:proofErr w:type="gramEnd"/>
      <w:r>
        <w:rPr>
          <w:lang w:val="en-US"/>
        </w:rPr>
        <w:t xml:space="preserve"> wind in m/s (middle row) and meridional wind in m/s (bottom row).</w:t>
      </w:r>
      <w:r w:rsidR="0010420D">
        <w:rPr>
          <w:lang w:val="en-GB"/>
        </w:rPr>
        <w:t xml:space="preserve"> </w:t>
      </w:r>
    </w:p>
    <w:p w:rsidR="0076726E" w:rsidRDefault="0076726E" w:rsidP="009144AA">
      <w:pPr>
        <w:rPr>
          <w:szCs w:val="16"/>
          <w:lang w:val="en-GB"/>
        </w:rPr>
      </w:pPr>
    </w:p>
    <w:p w:rsidR="00D83EAE" w:rsidRDefault="007E3579" w:rsidP="00DC521B">
      <w:pPr>
        <w:jc w:val="center"/>
        <w:rPr>
          <w:szCs w:val="16"/>
          <w:lang w:val="en-GB"/>
        </w:rPr>
      </w:pPr>
      <w:r>
        <w:rPr>
          <w:noProof/>
          <w:szCs w:val="16"/>
          <w:lang w:eastAsia="en-CA"/>
        </w:rPr>
        <w:drawing>
          <wp:inline distT="0" distB="0" distL="0" distR="0">
            <wp:extent cx="5943600" cy="71323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nalyses_TUV_july201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EAE" w:rsidRDefault="00D83EAE" w:rsidP="00D83EAE">
      <w:pPr>
        <w:rPr>
          <w:lang w:val="en-US"/>
        </w:rPr>
      </w:pPr>
      <w:r>
        <w:rPr>
          <w:b/>
          <w:lang w:val="en-US"/>
        </w:rPr>
        <w:t>Figure S4</w:t>
      </w:r>
      <w:r>
        <w:rPr>
          <w:lang w:val="en-US"/>
        </w:rPr>
        <w:t xml:space="preserve">: As in Figure S3 but for July 2010.  </w:t>
      </w:r>
    </w:p>
    <w:p w:rsidR="00D83EAE" w:rsidRDefault="007E3579" w:rsidP="00DC521B">
      <w:pPr>
        <w:jc w:val="center"/>
        <w:rPr>
          <w:lang w:val="en-US"/>
        </w:rPr>
      </w:pPr>
      <w:r>
        <w:rPr>
          <w:noProof/>
          <w:lang w:eastAsia="en-CA"/>
        </w:rPr>
        <w:lastRenderedPageBreak/>
        <w:drawing>
          <wp:inline distT="0" distB="0" distL="0" distR="0">
            <wp:extent cx="5943600" cy="713232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analyses_TUV_dec2010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3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EAE" w:rsidRDefault="00D83EAE" w:rsidP="00D83EAE">
      <w:pPr>
        <w:rPr>
          <w:lang w:val="en-US"/>
        </w:rPr>
      </w:pPr>
      <w:r w:rsidRPr="00D83EAE">
        <w:rPr>
          <w:b/>
          <w:lang w:val="en-US"/>
        </w:rPr>
        <w:t>Figure S5</w:t>
      </w:r>
      <w:r>
        <w:rPr>
          <w:lang w:val="en-US"/>
        </w:rPr>
        <w:t>: As in Figure S3 and S4 but for December 2010.</w:t>
      </w:r>
    </w:p>
    <w:p w:rsidR="00CF1B3F" w:rsidRDefault="00CF1B3F">
      <w:pPr>
        <w:rPr>
          <w:lang w:val="en-US"/>
        </w:rPr>
      </w:pPr>
      <w:r>
        <w:rPr>
          <w:lang w:val="en-US"/>
        </w:rPr>
        <w:br w:type="page"/>
      </w:r>
    </w:p>
    <w:p w:rsidR="00581E83" w:rsidRDefault="00581E83" w:rsidP="00D83EAE">
      <w:pPr>
        <w:rPr>
          <w:lang w:val="en-US"/>
        </w:rPr>
      </w:pPr>
    </w:p>
    <w:p w:rsidR="00A42037" w:rsidRDefault="00A42037" w:rsidP="00D83EAE">
      <w:pPr>
        <w:rPr>
          <w:lang w:val="en-US"/>
        </w:rPr>
      </w:pPr>
      <w:r>
        <w:rPr>
          <w:noProof/>
          <w:lang w:eastAsia="en-CA"/>
        </w:rPr>
        <w:drawing>
          <wp:inline distT="0" distB="0" distL="0" distR="0">
            <wp:extent cx="5943600" cy="13049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n111_sp107_EC-2013_timeseries_CO2_0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E83" w:rsidRDefault="00581E83" w:rsidP="00D83EAE">
      <w:pPr>
        <w:rPr>
          <w:lang w:val="en-US"/>
        </w:rPr>
      </w:pPr>
      <w:r w:rsidRPr="00581E83">
        <w:rPr>
          <w:b/>
          <w:lang w:val="en-US"/>
        </w:rPr>
        <w:t>Figure S6</w:t>
      </w:r>
      <w:r>
        <w:rPr>
          <w:lang w:val="en-US"/>
        </w:rPr>
        <w:t xml:space="preserve">:  Comparison of time </w:t>
      </w:r>
      <w:proofErr w:type="gramStart"/>
      <w:r>
        <w:rPr>
          <w:lang w:val="en-US"/>
        </w:rPr>
        <w:t xml:space="preserve">series  </w:t>
      </w:r>
      <w:r w:rsidR="007D370D">
        <w:rPr>
          <w:lang w:val="en-US"/>
        </w:rPr>
        <w:t>at</w:t>
      </w:r>
      <w:proofErr w:type="gramEnd"/>
      <w:r w:rsidR="007D370D">
        <w:rPr>
          <w:lang w:val="en-US"/>
        </w:rPr>
        <w:t xml:space="preserve"> Alert from continuous measurements (black) and from GEM-MACH-GHG with CT2013B posterior fluxes (red) and GEM-MACH-GHG with GEOS-</w:t>
      </w:r>
      <w:proofErr w:type="spellStart"/>
      <w:r w:rsidR="007D370D">
        <w:rPr>
          <w:lang w:val="en-US"/>
        </w:rPr>
        <w:t>Chem</w:t>
      </w:r>
      <w:proofErr w:type="spellEnd"/>
      <w:r w:rsidR="007D370D">
        <w:rPr>
          <w:lang w:val="en-US"/>
        </w:rPr>
        <w:t xml:space="preserve"> posterior fluxes obtained with GOSAT observations as in Deng et a</w:t>
      </w:r>
      <w:r w:rsidR="001B5813">
        <w:rPr>
          <w:lang w:val="en-US"/>
        </w:rPr>
        <w:t>l</w:t>
      </w:r>
      <w:r w:rsidR="007D370D">
        <w:rPr>
          <w:lang w:val="en-US"/>
        </w:rPr>
        <w:t>. 2016 (blue).</w:t>
      </w:r>
      <w:r w:rsidR="000B3A99">
        <w:rPr>
          <w:lang w:val="en-US"/>
        </w:rPr>
        <w:t xml:space="preserve">  The over-estimation of CO</w:t>
      </w:r>
      <w:r w:rsidR="000B3A99" w:rsidRPr="00690689">
        <w:rPr>
          <w:vertAlign w:val="subscript"/>
          <w:lang w:val="en-US"/>
        </w:rPr>
        <w:t>2</w:t>
      </w:r>
      <w:r w:rsidR="000B3A99">
        <w:rPr>
          <w:lang w:val="en-US"/>
        </w:rPr>
        <w:t xml:space="preserve"> at Alert with GEOS-</w:t>
      </w:r>
      <w:proofErr w:type="spellStart"/>
      <w:r w:rsidR="000B3A99">
        <w:rPr>
          <w:lang w:val="en-US"/>
        </w:rPr>
        <w:t>Chem</w:t>
      </w:r>
      <w:proofErr w:type="spellEnd"/>
      <w:r w:rsidR="000B3A99">
        <w:rPr>
          <w:lang w:val="en-US"/>
        </w:rPr>
        <w:t xml:space="preserve"> fluxes in the spring was attributed to the model deficiencies in boundary layer mixing (see Deng et al. 2016).</w:t>
      </w:r>
    </w:p>
    <w:p w:rsidR="00E733A3" w:rsidRDefault="00E733A3">
      <w:pPr>
        <w:rPr>
          <w:lang w:val="en-US"/>
        </w:rPr>
      </w:pPr>
      <w:r>
        <w:rPr>
          <w:lang w:val="en-US"/>
        </w:rPr>
        <w:br w:type="page"/>
      </w:r>
    </w:p>
    <w:p w:rsidR="00D83EAE" w:rsidRDefault="00D83EAE" w:rsidP="00D83EAE">
      <w:pPr>
        <w:rPr>
          <w:lang w:val="en-US"/>
        </w:rPr>
      </w:pPr>
    </w:p>
    <w:p w:rsidR="00460523" w:rsidRDefault="00460523" w:rsidP="00D83EAE">
      <w:pPr>
        <w:rPr>
          <w:lang w:val="en-US"/>
        </w:rPr>
      </w:pPr>
      <w:r>
        <w:rPr>
          <w:noProof/>
          <w:lang w:eastAsia="en-CA"/>
        </w:rPr>
        <w:drawing>
          <wp:inline distT="0" distB="0" distL="0" distR="0">
            <wp:extent cx="5943600" cy="47548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107_diff_sp107-climsfc3_spectra_overN_2009_level7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EAE" w:rsidRDefault="00E1106F" w:rsidP="00D83EAE">
      <w:pPr>
        <w:rPr>
          <w:lang w:val="en-US"/>
        </w:rPr>
      </w:pPr>
      <w:r>
        <w:rPr>
          <w:b/>
          <w:lang w:val="en-US"/>
        </w:rPr>
        <w:t>Figure S7</w:t>
      </w:r>
      <w:r w:rsidR="00D83EAE">
        <w:rPr>
          <w:lang w:val="en-US"/>
        </w:rPr>
        <w:t xml:space="preserve">:  </w:t>
      </w:r>
      <w:r w:rsidR="00E733A3">
        <w:rPr>
          <w:lang w:val="en-US"/>
        </w:rPr>
        <w:t xml:space="preserve">Power </w:t>
      </w:r>
      <w:proofErr w:type="gramStart"/>
      <w:r w:rsidR="00E733A3">
        <w:rPr>
          <w:lang w:val="en-US"/>
        </w:rPr>
        <w:t xml:space="preserve">spectra </w:t>
      </w:r>
      <w:r w:rsidR="007B6B51">
        <w:rPr>
          <w:lang w:val="en-US"/>
        </w:rPr>
        <w:t xml:space="preserve"> versus</w:t>
      </w:r>
      <w:proofErr w:type="gramEnd"/>
      <w:r w:rsidR="00E733A3">
        <w:rPr>
          <w:lang w:val="en-US"/>
        </w:rPr>
        <w:t xml:space="preserve"> total wavenumber of various errors and the reference CO</w:t>
      </w:r>
      <w:r w:rsidR="00E733A3" w:rsidRPr="007B6B51">
        <w:rPr>
          <w:vertAlign w:val="subscript"/>
          <w:lang w:val="en-US"/>
        </w:rPr>
        <w:t>2</w:t>
      </w:r>
      <w:r w:rsidR="00E733A3">
        <w:rPr>
          <w:lang w:val="en-US"/>
        </w:rPr>
        <w:t xml:space="preserve"> states.  Spectra are averaged over one month and the 12 model levels nearest the surface</w:t>
      </w:r>
      <w:r w:rsidR="00D84A46">
        <w:rPr>
          <w:lang w:val="en-US"/>
        </w:rPr>
        <w:t xml:space="preserve"> (roughly 1000 to 831 </w:t>
      </w:r>
      <w:proofErr w:type="spellStart"/>
      <w:r w:rsidR="00D84A46">
        <w:rPr>
          <w:lang w:val="en-US"/>
        </w:rPr>
        <w:t>hPa</w:t>
      </w:r>
      <w:proofErr w:type="spellEnd"/>
      <w:r w:rsidR="00D84A46">
        <w:rPr>
          <w:lang w:val="en-US"/>
        </w:rPr>
        <w:t>)</w:t>
      </w:r>
      <w:r w:rsidR="00E733A3">
        <w:rPr>
          <w:lang w:val="en-US"/>
        </w:rPr>
        <w:t>.  The 12 panels correspond to each month of 2009</w:t>
      </w:r>
      <w:r w:rsidR="006B6C85">
        <w:rPr>
          <w:lang w:val="en-US"/>
        </w:rPr>
        <w:t xml:space="preserve"> and only wavenumbers below 20 are shown</w:t>
      </w:r>
      <w:r w:rsidR="00E733A3">
        <w:rPr>
          <w:lang w:val="en-US"/>
        </w:rPr>
        <w:t xml:space="preserve">.  The mean spectra of the reference states (blue curves) are plotted along with the spectra of predictability errors (black curves) and the spectra of predictability errors from a cycle with seasonally shifted surface fields (red curves).   </w:t>
      </w:r>
    </w:p>
    <w:p w:rsidR="0032375C" w:rsidRDefault="0032375C">
      <w:pPr>
        <w:rPr>
          <w:lang w:val="en-US"/>
        </w:rPr>
      </w:pPr>
      <w:r>
        <w:rPr>
          <w:lang w:val="en-US"/>
        </w:rPr>
        <w:br w:type="page"/>
      </w:r>
    </w:p>
    <w:p w:rsidR="00460523" w:rsidRDefault="00460523" w:rsidP="00D83EAE">
      <w:pPr>
        <w:rPr>
          <w:lang w:val="en-US"/>
        </w:rPr>
      </w:pPr>
      <w:bookmarkStart w:id="0" w:name="_GoBack"/>
      <w:bookmarkEnd w:id="0"/>
      <w:r>
        <w:rPr>
          <w:noProof/>
          <w:lang w:eastAsia="en-CA"/>
        </w:rPr>
        <w:lastRenderedPageBreak/>
        <w:drawing>
          <wp:inline distT="0" distB="0" distL="0" distR="0">
            <wp:extent cx="5943600" cy="47548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p107_diff_sp107-climsfc3_spectra_overM_2009_level79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75C" w:rsidRDefault="0032375C" w:rsidP="00D83EAE">
      <w:pPr>
        <w:rPr>
          <w:lang w:val="en-US"/>
        </w:rPr>
      </w:pPr>
      <w:r w:rsidRPr="0032375C">
        <w:rPr>
          <w:b/>
          <w:lang w:val="en-US"/>
        </w:rPr>
        <w:t>Figure S</w:t>
      </w:r>
      <w:r w:rsidR="00E1106F">
        <w:rPr>
          <w:b/>
          <w:lang w:val="en-US"/>
        </w:rPr>
        <w:t>8</w:t>
      </w:r>
      <w:r w:rsidR="001B5813">
        <w:rPr>
          <w:lang w:val="en-US"/>
        </w:rPr>
        <w:t>: As in Figure S7</w:t>
      </w:r>
      <w:r>
        <w:rPr>
          <w:lang w:val="en-US"/>
        </w:rPr>
        <w:t xml:space="preserve"> but for spectra plotted against zonal wavenumber.</w:t>
      </w:r>
    </w:p>
    <w:p w:rsidR="00D83EAE" w:rsidRPr="00D83EAE" w:rsidRDefault="00D83EAE" w:rsidP="009144AA">
      <w:pPr>
        <w:rPr>
          <w:szCs w:val="16"/>
          <w:lang w:val="en-US"/>
        </w:rPr>
      </w:pPr>
    </w:p>
    <w:sectPr w:rsidR="00D83EAE" w:rsidRPr="00D83EA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F30" w:rsidRDefault="00BA4F30" w:rsidP="00BA4F30">
      <w:pPr>
        <w:spacing w:after="0" w:line="240" w:lineRule="auto"/>
      </w:pPr>
      <w:r>
        <w:separator/>
      </w:r>
    </w:p>
  </w:endnote>
  <w:endnote w:type="continuationSeparator" w:id="0">
    <w:p w:rsidR="00BA4F30" w:rsidRDefault="00BA4F30" w:rsidP="00BA4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F30" w:rsidRDefault="00BA4F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F30" w:rsidRDefault="00BA4F3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F30" w:rsidRDefault="00BA4F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F30" w:rsidRDefault="00BA4F30" w:rsidP="00BA4F30">
      <w:pPr>
        <w:spacing w:after="0" w:line="240" w:lineRule="auto"/>
      </w:pPr>
      <w:r>
        <w:separator/>
      </w:r>
    </w:p>
  </w:footnote>
  <w:footnote w:type="continuationSeparator" w:id="0">
    <w:p w:rsidR="00BA4F30" w:rsidRDefault="00BA4F30" w:rsidP="00BA4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F30" w:rsidRDefault="00BA4F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6684782"/>
      <w:docPartObj>
        <w:docPartGallery w:val="Page Numbers (Top of Page)"/>
        <w:docPartUnique/>
      </w:docPartObj>
    </w:sdtPr>
    <w:sdtEndPr>
      <w:rPr>
        <w:noProof/>
      </w:rPr>
    </w:sdtEndPr>
    <w:sdtContent>
      <w:p w:rsidR="00BA4F30" w:rsidRDefault="00BA4F3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52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BA4F30" w:rsidRPr="00BA4F30" w:rsidRDefault="00BA4F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F30" w:rsidRDefault="00BA4F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A6AEE"/>
    <w:multiLevelType w:val="hybridMultilevel"/>
    <w:tmpl w:val="0F7457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7F7E"/>
    <w:multiLevelType w:val="hybridMultilevel"/>
    <w:tmpl w:val="B9BAA0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C56B3B"/>
    <w:multiLevelType w:val="hybridMultilevel"/>
    <w:tmpl w:val="09348AEA"/>
    <w:lvl w:ilvl="0" w:tplc="1009000F">
      <w:start w:val="1"/>
      <w:numFmt w:val="decimal"/>
      <w:lvlText w:val="%1."/>
      <w:lvlJc w:val="left"/>
      <w:pPr>
        <w:ind w:left="765" w:hanging="360"/>
      </w:pPr>
    </w:lvl>
    <w:lvl w:ilvl="1" w:tplc="10090019" w:tentative="1">
      <w:start w:val="1"/>
      <w:numFmt w:val="lowerLetter"/>
      <w:lvlText w:val="%2."/>
      <w:lvlJc w:val="left"/>
      <w:pPr>
        <w:ind w:left="1485" w:hanging="360"/>
      </w:pPr>
    </w:lvl>
    <w:lvl w:ilvl="2" w:tplc="1009001B" w:tentative="1">
      <w:start w:val="1"/>
      <w:numFmt w:val="lowerRoman"/>
      <w:lvlText w:val="%3."/>
      <w:lvlJc w:val="right"/>
      <w:pPr>
        <w:ind w:left="2205" w:hanging="180"/>
      </w:pPr>
    </w:lvl>
    <w:lvl w:ilvl="3" w:tplc="1009000F" w:tentative="1">
      <w:start w:val="1"/>
      <w:numFmt w:val="decimal"/>
      <w:lvlText w:val="%4."/>
      <w:lvlJc w:val="left"/>
      <w:pPr>
        <w:ind w:left="2925" w:hanging="360"/>
      </w:pPr>
    </w:lvl>
    <w:lvl w:ilvl="4" w:tplc="10090019" w:tentative="1">
      <w:start w:val="1"/>
      <w:numFmt w:val="lowerLetter"/>
      <w:lvlText w:val="%5."/>
      <w:lvlJc w:val="left"/>
      <w:pPr>
        <w:ind w:left="3645" w:hanging="360"/>
      </w:pPr>
    </w:lvl>
    <w:lvl w:ilvl="5" w:tplc="1009001B" w:tentative="1">
      <w:start w:val="1"/>
      <w:numFmt w:val="lowerRoman"/>
      <w:lvlText w:val="%6."/>
      <w:lvlJc w:val="right"/>
      <w:pPr>
        <w:ind w:left="4365" w:hanging="180"/>
      </w:pPr>
    </w:lvl>
    <w:lvl w:ilvl="6" w:tplc="1009000F" w:tentative="1">
      <w:start w:val="1"/>
      <w:numFmt w:val="decimal"/>
      <w:lvlText w:val="%7."/>
      <w:lvlJc w:val="left"/>
      <w:pPr>
        <w:ind w:left="5085" w:hanging="360"/>
      </w:pPr>
    </w:lvl>
    <w:lvl w:ilvl="7" w:tplc="10090019" w:tentative="1">
      <w:start w:val="1"/>
      <w:numFmt w:val="lowerLetter"/>
      <w:lvlText w:val="%8."/>
      <w:lvlJc w:val="left"/>
      <w:pPr>
        <w:ind w:left="5805" w:hanging="360"/>
      </w:pPr>
    </w:lvl>
    <w:lvl w:ilvl="8" w:tplc="10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4AA"/>
    <w:rsid w:val="0006528F"/>
    <w:rsid w:val="000B3A99"/>
    <w:rsid w:val="00101DD6"/>
    <w:rsid w:val="0010420D"/>
    <w:rsid w:val="0013797D"/>
    <w:rsid w:val="001B14A9"/>
    <w:rsid w:val="001B5813"/>
    <w:rsid w:val="001F1B1F"/>
    <w:rsid w:val="00227F35"/>
    <w:rsid w:val="00275335"/>
    <w:rsid w:val="00277F91"/>
    <w:rsid w:val="002C6608"/>
    <w:rsid w:val="0032375C"/>
    <w:rsid w:val="00372E79"/>
    <w:rsid w:val="00442969"/>
    <w:rsid w:val="00460523"/>
    <w:rsid w:val="004F0F7E"/>
    <w:rsid w:val="004F77C0"/>
    <w:rsid w:val="00555507"/>
    <w:rsid w:val="00581E83"/>
    <w:rsid w:val="005C133C"/>
    <w:rsid w:val="00690689"/>
    <w:rsid w:val="006B6C85"/>
    <w:rsid w:val="006C256F"/>
    <w:rsid w:val="0076726E"/>
    <w:rsid w:val="007B6B51"/>
    <w:rsid w:val="007D370D"/>
    <w:rsid w:val="007E3579"/>
    <w:rsid w:val="007E53E9"/>
    <w:rsid w:val="007F3371"/>
    <w:rsid w:val="008D4885"/>
    <w:rsid w:val="009144AA"/>
    <w:rsid w:val="00963489"/>
    <w:rsid w:val="009C0F16"/>
    <w:rsid w:val="00A42037"/>
    <w:rsid w:val="00A51EEA"/>
    <w:rsid w:val="00A6254D"/>
    <w:rsid w:val="00A629E3"/>
    <w:rsid w:val="00BA4F30"/>
    <w:rsid w:val="00BA6F8D"/>
    <w:rsid w:val="00BC070C"/>
    <w:rsid w:val="00BC7B7D"/>
    <w:rsid w:val="00BE7D1D"/>
    <w:rsid w:val="00C913D7"/>
    <w:rsid w:val="00CF1B3F"/>
    <w:rsid w:val="00D02F2B"/>
    <w:rsid w:val="00D51A1F"/>
    <w:rsid w:val="00D83EAE"/>
    <w:rsid w:val="00D84A46"/>
    <w:rsid w:val="00DA5EEF"/>
    <w:rsid w:val="00DC521B"/>
    <w:rsid w:val="00E1106F"/>
    <w:rsid w:val="00E733A3"/>
    <w:rsid w:val="00E81DE4"/>
    <w:rsid w:val="00ED1562"/>
    <w:rsid w:val="00F56223"/>
    <w:rsid w:val="00F578F3"/>
    <w:rsid w:val="00F6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44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44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1D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4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F30"/>
  </w:style>
  <w:style w:type="paragraph" w:styleId="Footer">
    <w:name w:val="footer"/>
    <w:basedOn w:val="Normal"/>
    <w:link w:val="FooterChar"/>
    <w:uiPriority w:val="99"/>
    <w:unhideWhenUsed/>
    <w:rsid w:val="00BA4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F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44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44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4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4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81D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A4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F30"/>
  </w:style>
  <w:style w:type="paragraph" w:styleId="Footer">
    <w:name w:val="footer"/>
    <w:basedOn w:val="Normal"/>
    <w:link w:val="FooterChar"/>
    <w:uiPriority w:val="99"/>
    <w:unhideWhenUsed/>
    <w:rsid w:val="00BA4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7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Environment Canada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Polavarapu,Saroja [Ontario]</dc:creator>
  <cp:lastModifiedBy>Polavarapu,Saroja [Ontario]</cp:lastModifiedBy>
  <cp:revision>29</cp:revision>
  <dcterms:created xsi:type="dcterms:W3CDTF">2016-01-04T22:34:00Z</dcterms:created>
  <dcterms:modified xsi:type="dcterms:W3CDTF">2016-04-22T13:48:00Z</dcterms:modified>
</cp:coreProperties>
</file>