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HAnsi" w:hAnsiTheme="minorHAnsi" w:cstheme="minorBidi"/>
          <w:b w:val="0"/>
          <w:bCs w:val="0"/>
          <w:sz w:val="22"/>
          <w:szCs w:val="22"/>
          <w:lang w:bidi="ar-SA"/>
        </w:rPr>
        <w:id w:val="-638957069"/>
        <w:docPartObj>
          <w:docPartGallery w:val="Table of Contents"/>
          <w:docPartUnique/>
        </w:docPartObj>
      </w:sdtPr>
      <w:sdtEndPr>
        <w:rPr>
          <w:noProof/>
        </w:rPr>
      </w:sdtEndPr>
      <w:sdtContent>
        <w:p w14:paraId="74C17704" w14:textId="77777777" w:rsidR="009F6D63" w:rsidRDefault="009F6D63" w:rsidP="006B3A3D">
          <w:pPr>
            <w:pStyle w:val="TOCHeading"/>
            <w:numPr>
              <w:ilvl w:val="0"/>
              <w:numId w:val="0"/>
            </w:numPr>
            <w:spacing w:before="0"/>
          </w:pPr>
          <w:r>
            <w:t>Contents</w:t>
          </w:r>
        </w:p>
        <w:p w14:paraId="66D3ACE9" w14:textId="77777777" w:rsidR="001739F5" w:rsidRDefault="009F6D63">
          <w:pPr>
            <w:pStyle w:val="TOC1"/>
            <w:tabs>
              <w:tab w:val="left" w:pos="440"/>
              <w:tab w:val="right" w:leader="dot" w:pos="9062"/>
            </w:tabs>
            <w:rPr>
              <w:rFonts w:eastAsiaTheme="minorEastAsia"/>
              <w:noProof/>
              <w:lang w:val="en-US"/>
            </w:rPr>
          </w:pPr>
          <w:r>
            <w:fldChar w:fldCharType="begin"/>
          </w:r>
          <w:r>
            <w:instrText xml:space="preserve"> TOC \o "1-3" \h \z \u </w:instrText>
          </w:r>
          <w:r>
            <w:fldChar w:fldCharType="separate"/>
          </w:r>
          <w:hyperlink w:anchor="_Toc440538739" w:history="1">
            <w:r w:rsidR="001739F5" w:rsidRPr="001C5E12">
              <w:rPr>
                <w:rStyle w:val="Hyperlink"/>
                <w:noProof/>
              </w:rPr>
              <w:t>S1</w:t>
            </w:r>
            <w:r w:rsidR="001739F5">
              <w:rPr>
                <w:rFonts w:eastAsiaTheme="minorEastAsia"/>
                <w:noProof/>
                <w:lang w:val="en-US"/>
              </w:rPr>
              <w:tab/>
            </w:r>
            <w:r w:rsidR="001739F5" w:rsidRPr="001C5E12">
              <w:rPr>
                <w:rStyle w:val="Hyperlink"/>
                <w:noProof/>
              </w:rPr>
              <w:t>Ocean File: ocean mask and surf zone definition</w:t>
            </w:r>
            <w:r w:rsidR="001739F5">
              <w:rPr>
                <w:noProof/>
                <w:webHidden/>
              </w:rPr>
              <w:tab/>
            </w:r>
            <w:r w:rsidR="001739F5">
              <w:rPr>
                <w:noProof/>
                <w:webHidden/>
              </w:rPr>
              <w:fldChar w:fldCharType="begin"/>
            </w:r>
            <w:r w:rsidR="001739F5">
              <w:rPr>
                <w:noProof/>
                <w:webHidden/>
              </w:rPr>
              <w:instrText xml:space="preserve"> PAGEREF _Toc440538739 \h </w:instrText>
            </w:r>
            <w:r w:rsidR="001739F5">
              <w:rPr>
                <w:noProof/>
                <w:webHidden/>
              </w:rPr>
            </w:r>
            <w:r w:rsidR="001739F5">
              <w:rPr>
                <w:noProof/>
                <w:webHidden/>
              </w:rPr>
              <w:fldChar w:fldCharType="separate"/>
            </w:r>
            <w:r w:rsidR="001739F5">
              <w:rPr>
                <w:noProof/>
                <w:webHidden/>
              </w:rPr>
              <w:t>1</w:t>
            </w:r>
            <w:r w:rsidR="001739F5">
              <w:rPr>
                <w:noProof/>
                <w:webHidden/>
              </w:rPr>
              <w:fldChar w:fldCharType="end"/>
            </w:r>
          </w:hyperlink>
        </w:p>
        <w:p w14:paraId="619D53F7" w14:textId="77777777" w:rsidR="001739F5" w:rsidRDefault="00EF2CE8">
          <w:pPr>
            <w:pStyle w:val="TOC2"/>
            <w:tabs>
              <w:tab w:val="left" w:pos="880"/>
              <w:tab w:val="right" w:leader="dot" w:pos="9062"/>
            </w:tabs>
            <w:rPr>
              <w:rFonts w:eastAsiaTheme="minorEastAsia"/>
              <w:noProof/>
              <w:lang w:val="en-US"/>
            </w:rPr>
          </w:pPr>
          <w:hyperlink w:anchor="_Toc440538740" w:history="1">
            <w:r w:rsidR="001739F5" w:rsidRPr="001C5E12">
              <w:rPr>
                <w:rStyle w:val="Hyperlink"/>
                <w:noProof/>
                <w:lang w:val="en-US"/>
              </w:rPr>
              <w:t>S1.1</w:t>
            </w:r>
            <w:r w:rsidR="001739F5">
              <w:rPr>
                <w:rFonts w:eastAsiaTheme="minorEastAsia"/>
                <w:noProof/>
                <w:lang w:val="en-US"/>
              </w:rPr>
              <w:tab/>
            </w:r>
            <w:r w:rsidR="001739F5" w:rsidRPr="001C5E12">
              <w:rPr>
                <w:rStyle w:val="Hyperlink"/>
                <w:noProof/>
                <w:lang w:val="en-US"/>
              </w:rPr>
              <w:t>Limited surf zone</w:t>
            </w:r>
            <w:r w:rsidR="001739F5">
              <w:rPr>
                <w:noProof/>
                <w:webHidden/>
              </w:rPr>
              <w:tab/>
            </w:r>
            <w:r w:rsidR="001739F5">
              <w:rPr>
                <w:noProof/>
                <w:webHidden/>
              </w:rPr>
              <w:fldChar w:fldCharType="begin"/>
            </w:r>
            <w:r w:rsidR="001739F5">
              <w:rPr>
                <w:noProof/>
                <w:webHidden/>
              </w:rPr>
              <w:instrText xml:space="preserve"> PAGEREF _Toc440538740 \h </w:instrText>
            </w:r>
            <w:r w:rsidR="001739F5">
              <w:rPr>
                <w:noProof/>
                <w:webHidden/>
              </w:rPr>
            </w:r>
            <w:r w:rsidR="001739F5">
              <w:rPr>
                <w:noProof/>
                <w:webHidden/>
              </w:rPr>
              <w:fldChar w:fldCharType="separate"/>
            </w:r>
            <w:r w:rsidR="001739F5">
              <w:rPr>
                <w:noProof/>
                <w:webHidden/>
              </w:rPr>
              <w:t>1</w:t>
            </w:r>
            <w:r w:rsidR="001739F5">
              <w:rPr>
                <w:noProof/>
                <w:webHidden/>
              </w:rPr>
              <w:fldChar w:fldCharType="end"/>
            </w:r>
          </w:hyperlink>
        </w:p>
        <w:p w14:paraId="6BAB0517" w14:textId="77777777" w:rsidR="001739F5" w:rsidRDefault="00EF2CE8">
          <w:pPr>
            <w:pStyle w:val="TOC2"/>
            <w:tabs>
              <w:tab w:val="left" w:pos="880"/>
              <w:tab w:val="right" w:leader="dot" w:pos="9062"/>
            </w:tabs>
            <w:rPr>
              <w:rFonts w:eastAsiaTheme="minorEastAsia"/>
              <w:noProof/>
              <w:lang w:val="en-US"/>
            </w:rPr>
          </w:pPr>
          <w:hyperlink w:anchor="_Toc440538741" w:history="1">
            <w:r w:rsidR="001739F5" w:rsidRPr="001C5E12">
              <w:rPr>
                <w:rStyle w:val="Hyperlink"/>
                <w:noProof/>
              </w:rPr>
              <w:t>S1.2</w:t>
            </w:r>
            <w:r w:rsidR="001739F5">
              <w:rPr>
                <w:rFonts w:eastAsiaTheme="minorEastAsia"/>
                <w:noProof/>
                <w:lang w:val="en-US"/>
              </w:rPr>
              <w:tab/>
            </w:r>
            <w:r w:rsidR="001739F5" w:rsidRPr="001C5E12">
              <w:rPr>
                <w:rStyle w:val="Hyperlink"/>
                <w:noProof/>
              </w:rPr>
              <w:t>Salinity Scaling</w:t>
            </w:r>
            <w:r w:rsidR="001739F5">
              <w:rPr>
                <w:noProof/>
                <w:webHidden/>
              </w:rPr>
              <w:tab/>
            </w:r>
            <w:r w:rsidR="001739F5">
              <w:rPr>
                <w:noProof/>
                <w:webHidden/>
              </w:rPr>
              <w:fldChar w:fldCharType="begin"/>
            </w:r>
            <w:r w:rsidR="001739F5">
              <w:rPr>
                <w:noProof/>
                <w:webHidden/>
              </w:rPr>
              <w:instrText xml:space="preserve"> PAGEREF _Toc440538741 \h </w:instrText>
            </w:r>
            <w:r w:rsidR="001739F5">
              <w:rPr>
                <w:noProof/>
                <w:webHidden/>
              </w:rPr>
            </w:r>
            <w:r w:rsidR="001739F5">
              <w:rPr>
                <w:noProof/>
                <w:webHidden/>
              </w:rPr>
              <w:fldChar w:fldCharType="separate"/>
            </w:r>
            <w:r w:rsidR="001739F5">
              <w:rPr>
                <w:noProof/>
                <w:webHidden/>
              </w:rPr>
              <w:t>3</w:t>
            </w:r>
            <w:r w:rsidR="001739F5">
              <w:rPr>
                <w:noProof/>
                <w:webHidden/>
              </w:rPr>
              <w:fldChar w:fldCharType="end"/>
            </w:r>
          </w:hyperlink>
        </w:p>
        <w:p w14:paraId="1AEF45CF" w14:textId="77777777" w:rsidR="001739F5" w:rsidRDefault="00EF2CE8">
          <w:pPr>
            <w:pStyle w:val="TOC1"/>
            <w:tabs>
              <w:tab w:val="left" w:pos="440"/>
              <w:tab w:val="right" w:leader="dot" w:pos="9062"/>
            </w:tabs>
            <w:rPr>
              <w:rFonts w:eastAsiaTheme="minorEastAsia"/>
              <w:noProof/>
              <w:lang w:val="en-US"/>
            </w:rPr>
          </w:pPr>
          <w:hyperlink w:anchor="_Toc440538742" w:history="1">
            <w:r w:rsidR="001739F5" w:rsidRPr="001C5E12">
              <w:rPr>
                <w:rStyle w:val="Hyperlink"/>
                <w:noProof/>
              </w:rPr>
              <w:t>S2</w:t>
            </w:r>
            <w:r w:rsidR="001739F5">
              <w:rPr>
                <w:rFonts w:eastAsiaTheme="minorEastAsia"/>
                <w:noProof/>
                <w:lang w:val="en-US"/>
              </w:rPr>
              <w:tab/>
            </w:r>
            <w:r w:rsidR="001739F5" w:rsidRPr="001C5E12">
              <w:rPr>
                <w:rStyle w:val="Hyperlink"/>
                <w:noProof/>
              </w:rPr>
              <w:t>Software for Data Evaluation</w:t>
            </w:r>
            <w:r w:rsidR="001739F5">
              <w:rPr>
                <w:noProof/>
                <w:webHidden/>
              </w:rPr>
              <w:tab/>
            </w:r>
            <w:r w:rsidR="001739F5">
              <w:rPr>
                <w:noProof/>
                <w:webHidden/>
              </w:rPr>
              <w:fldChar w:fldCharType="begin"/>
            </w:r>
            <w:r w:rsidR="001739F5">
              <w:rPr>
                <w:noProof/>
                <w:webHidden/>
              </w:rPr>
              <w:instrText xml:space="preserve"> PAGEREF _Toc440538742 \h </w:instrText>
            </w:r>
            <w:r w:rsidR="001739F5">
              <w:rPr>
                <w:noProof/>
                <w:webHidden/>
              </w:rPr>
            </w:r>
            <w:r w:rsidR="001739F5">
              <w:rPr>
                <w:noProof/>
                <w:webHidden/>
              </w:rPr>
              <w:fldChar w:fldCharType="separate"/>
            </w:r>
            <w:r w:rsidR="001739F5">
              <w:rPr>
                <w:noProof/>
                <w:webHidden/>
              </w:rPr>
              <w:t>3</w:t>
            </w:r>
            <w:r w:rsidR="001739F5">
              <w:rPr>
                <w:noProof/>
                <w:webHidden/>
              </w:rPr>
              <w:fldChar w:fldCharType="end"/>
            </w:r>
          </w:hyperlink>
        </w:p>
        <w:p w14:paraId="6855D2D0" w14:textId="77777777" w:rsidR="001739F5" w:rsidRDefault="00EF2CE8">
          <w:pPr>
            <w:pStyle w:val="TOC1"/>
            <w:tabs>
              <w:tab w:val="left" w:pos="440"/>
              <w:tab w:val="right" w:leader="dot" w:pos="9062"/>
            </w:tabs>
            <w:rPr>
              <w:rFonts w:eastAsiaTheme="minorEastAsia"/>
              <w:noProof/>
              <w:lang w:val="en-US"/>
            </w:rPr>
          </w:pPr>
          <w:hyperlink w:anchor="_Toc440538743" w:history="1">
            <w:r w:rsidR="001739F5" w:rsidRPr="001C5E12">
              <w:rPr>
                <w:rStyle w:val="Hyperlink"/>
                <w:noProof/>
              </w:rPr>
              <w:t>S3</w:t>
            </w:r>
            <w:r w:rsidR="001739F5">
              <w:rPr>
                <w:rFonts w:eastAsiaTheme="minorEastAsia"/>
                <w:noProof/>
                <w:lang w:val="en-US"/>
              </w:rPr>
              <w:tab/>
            </w:r>
            <w:r w:rsidR="001739F5" w:rsidRPr="001C5E12">
              <w:rPr>
                <w:rStyle w:val="Hyperlink"/>
                <w:noProof/>
              </w:rPr>
              <w:t>Model Input and Output Data and statistical Evaluation</w:t>
            </w:r>
            <w:r w:rsidR="001739F5">
              <w:rPr>
                <w:noProof/>
                <w:webHidden/>
              </w:rPr>
              <w:tab/>
            </w:r>
            <w:r w:rsidR="001739F5">
              <w:rPr>
                <w:noProof/>
                <w:webHidden/>
              </w:rPr>
              <w:fldChar w:fldCharType="begin"/>
            </w:r>
            <w:r w:rsidR="001739F5">
              <w:rPr>
                <w:noProof/>
                <w:webHidden/>
              </w:rPr>
              <w:instrText xml:space="preserve"> PAGEREF _Toc440538743 \h </w:instrText>
            </w:r>
            <w:r w:rsidR="001739F5">
              <w:rPr>
                <w:noProof/>
                <w:webHidden/>
              </w:rPr>
            </w:r>
            <w:r w:rsidR="001739F5">
              <w:rPr>
                <w:noProof/>
                <w:webHidden/>
              </w:rPr>
              <w:fldChar w:fldCharType="separate"/>
            </w:r>
            <w:r w:rsidR="001739F5">
              <w:rPr>
                <w:noProof/>
                <w:webHidden/>
              </w:rPr>
              <w:t>3</w:t>
            </w:r>
            <w:r w:rsidR="001739F5">
              <w:rPr>
                <w:noProof/>
                <w:webHidden/>
              </w:rPr>
              <w:fldChar w:fldCharType="end"/>
            </w:r>
          </w:hyperlink>
        </w:p>
        <w:p w14:paraId="3F8573BE" w14:textId="77777777" w:rsidR="001739F5" w:rsidRDefault="00EF2CE8">
          <w:pPr>
            <w:pStyle w:val="TOC1"/>
            <w:tabs>
              <w:tab w:val="left" w:pos="440"/>
              <w:tab w:val="right" w:leader="dot" w:pos="9062"/>
            </w:tabs>
            <w:rPr>
              <w:rFonts w:eastAsiaTheme="minorEastAsia"/>
              <w:noProof/>
              <w:lang w:val="en-US"/>
            </w:rPr>
          </w:pPr>
          <w:hyperlink w:anchor="_Toc440538744" w:history="1">
            <w:r w:rsidR="001739F5" w:rsidRPr="001C5E12">
              <w:rPr>
                <w:rStyle w:val="Hyperlink"/>
                <w:noProof/>
              </w:rPr>
              <w:t>S4</w:t>
            </w:r>
            <w:r w:rsidR="001739F5">
              <w:rPr>
                <w:rFonts w:eastAsiaTheme="minorEastAsia"/>
                <w:noProof/>
                <w:lang w:val="en-US"/>
              </w:rPr>
              <w:tab/>
            </w:r>
            <w:r w:rsidR="001739F5" w:rsidRPr="001C5E12">
              <w:rPr>
                <w:rStyle w:val="Hyperlink"/>
                <w:noProof/>
              </w:rPr>
              <w:t>EMEP data</w:t>
            </w:r>
            <w:r w:rsidR="001739F5">
              <w:rPr>
                <w:noProof/>
                <w:webHidden/>
              </w:rPr>
              <w:tab/>
            </w:r>
            <w:r w:rsidR="001739F5">
              <w:rPr>
                <w:noProof/>
                <w:webHidden/>
              </w:rPr>
              <w:fldChar w:fldCharType="begin"/>
            </w:r>
            <w:r w:rsidR="001739F5">
              <w:rPr>
                <w:noProof/>
                <w:webHidden/>
              </w:rPr>
              <w:instrText xml:space="preserve"> PAGEREF _Toc440538744 \h </w:instrText>
            </w:r>
            <w:r w:rsidR="001739F5">
              <w:rPr>
                <w:noProof/>
                <w:webHidden/>
              </w:rPr>
            </w:r>
            <w:r w:rsidR="001739F5">
              <w:rPr>
                <w:noProof/>
                <w:webHidden/>
              </w:rPr>
              <w:fldChar w:fldCharType="separate"/>
            </w:r>
            <w:r w:rsidR="001739F5">
              <w:rPr>
                <w:noProof/>
                <w:webHidden/>
              </w:rPr>
              <w:t>5</w:t>
            </w:r>
            <w:r w:rsidR="001739F5">
              <w:rPr>
                <w:noProof/>
                <w:webHidden/>
              </w:rPr>
              <w:fldChar w:fldCharType="end"/>
            </w:r>
          </w:hyperlink>
        </w:p>
        <w:p w14:paraId="7DB6155D" w14:textId="77777777" w:rsidR="001739F5" w:rsidRDefault="00EF2CE8">
          <w:pPr>
            <w:pStyle w:val="TOC1"/>
            <w:tabs>
              <w:tab w:val="left" w:pos="440"/>
              <w:tab w:val="right" w:leader="dot" w:pos="9062"/>
            </w:tabs>
            <w:rPr>
              <w:rFonts w:eastAsiaTheme="minorEastAsia"/>
              <w:noProof/>
              <w:lang w:val="en-US"/>
            </w:rPr>
          </w:pPr>
          <w:hyperlink w:anchor="_Toc440538745" w:history="1">
            <w:r w:rsidR="001739F5" w:rsidRPr="001C5E12">
              <w:rPr>
                <w:rStyle w:val="Hyperlink"/>
                <w:noProof/>
              </w:rPr>
              <w:t>S5</w:t>
            </w:r>
            <w:r w:rsidR="001739F5">
              <w:rPr>
                <w:rFonts w:eastAsiaTheme="minorEastAsia"/>
                <w:noProof/>
                <w:lang w:val="en-US"/>
              </w:rPr>
              <w:tab/>
            </w:r>
            <w:r w:rsidR="001739F5" w:rsidRPr="001C5E12">
              <w:rPr>
                <w:rStyle w:val="Hyperlink"/>
                <w:noProof/>
              </w:rPr>
              <w:t>Nitrogen Deposition</w:t>
            </w:r>
            <w:r w:rsidR="001739F5">
              <w:rPr>
                <w:noProof/>
                <w:webHidden/>
              </w:rPr>
              <w:tab/>
            </w:r>
            <w:r w:rsidR="001739F5">
              <w:rPr>
                <w:noProof/>
                <w:webHidden/>
              </w:rPr>
              <w:fldChar w:fldCharType="begin"/>
            </w:r>
            <w:r w:rsidR="001739F5">
              <w:rPr>
                <w:noProof/>
                <w:webHidden/>
              </w:rPr>
              <w:instrText xml:space="preserve"> PAGEREF _Toc440538745 \h </w:instrText>
            </w:r>
            <w:r w:rsidR="001739F5">
              <w:rPr>
                <w:noProof/>
                <w:webHidden/>
              </w:rPr>
            </w:r>
            <w:r w:rsidR="001739F5">
              <w:rPr>
                <w:noProof/>
                <w:webHidden/>
              </w:rPr>
              <w:fldChar w:fldCharType="separate"/>
            </w:r>
            <w:r w:rsidR="001739F5">
              <w:rPr>
                <w:noProof/>
                <w:webHidden/>
              </w:rPr>
              <w:t>5</w:t>
            </w:r>
            <w:r w:rsidR="001739F5">
              <w:rPr>
                <w:noProof/>
                <w:webHidden/>
              </w:rPr>
              <w:fldChar w:fldCharType="end"/>
            </w:r>
          </w:hyperlink>
        </w:p>
        <w:p w14:paraId="766876D2" w14:textId="77777777" w:rsidR="009F6D63" w:rsidRDefault="009F6D63">
          <w:r>
            <w:rPr>
              <w:b/>
              <w:bCs/>
              <w:noProof/>
            </w:rPr>
            <w:fldChar w:fldCharType="end"/>
          </w:r>
        </w:p>
      </w:sdtContent>
    </w:sdt>
    <w:p w14:paraId="20A351B3" w14:textId="77777777" w:rsidR="00CA1816" w:rsidRPr="009F6D63" w:rsidRDefault="00CA1816" w:rsidP="009F6D63">
      <w:pPr>
        <w:pStyle w:val="Heading1"/>
      </w:pPr>
      <w:bookmarkStart w:id="0" w:name="_Toc440538739"/>
      <w:r w:rsidRPr="009F6D63">
        <w:t>Ocean File</w:t>
      </w:r>
      <w:r w:rsidR="00120AAF" w:rsidRPr="009F6D63">
        <w:t>: ocean mask and surf zone definition</w:t>
      </w:r>
      <w:bookmarkEnd w:id="0"/>
    </w:p>
    <w:p w14:paraId="3481F9CC" w14:textId="77777777" w:rsidR="00120AAF" w:rsidRDefault="00120AAF" w:rsidP="004B2EC6">
      <w:pPr>
        <w:jc w:val="both"/>
        <w:rPr>
          <w:lang w:val="en-US"/>
        </w:rPr>
      </w:pPr>
      <w:r>
        <w:rPr>
          <w:lang w:val="en-US"/>
        </w:rPr>
        <w:t>CMAQ’</w:t>
      </w:r>
      <w:r w:rsidR="00E701B4">
        <w:rPr>
          <w:lang w:val="en-US"/>
        </w:rPr>
        <w:t xml:space="preserve">s land-ocean </w:t>
      </w:r>
      <w:r>
        <w:rPr>
          <w:lang w:val="en-US"/>
        </w:rPr>
        <w:t xml:space="preserve">mask and the </w:t>
      </w:r>
      <w:r w:rsidR="00E37D81">
        <w:rPr>
          <w:lang w:val="en-US"/>
        </w:rPr>
        <w:t xml:space="preserve">fraction </w:t>
      </w:r>
      <w:r>
        <w:rPr>
          <w:lang w:val="en-US"/>
        </w:rPr>
        <w:t xml:space="preserve">of surf zone and </w:t>
      </w:r>
      <w:proofErr w:type="gramStart"/>
      <w:r>
        <w:rPr>
          <w:lang w:val="en-US"/>
        </w:rPr>
        <w:t>open ocean</w:t>
      </w:r>
      <w:proofErr w:type="gramEnd"/>
      <w:r>
        <w:rPr>
          <w:lang w:val="en-US"/>
        </w:rPr>
        <w:t xml:space="preserve"> </w:t>
      </w:r>
      <w:r w:rsidR="00E37D81">
        <w:rPr>
          <w:lang w:val="en-US"/>
        </w:rPr>
        <w:t>(</w:t>
      </w:r>
      <w:r>
        <w:rPr>
          <w:lang w:val="en-US"/>
        </w:rPr>
        <w:t>per grid cell</w:t>
      </w:r>
      <w:r w:rsidR="00E37D81">
        <w:rPr>
          <w:lang w:val="en-US"/>
        </w:rPr>
        <w:t>)</w:t>
      </w:r>
      <w:r>
        <w:rPr>
          <w:lang w:val="en-US"/>
        </w:rPr>
        <w:t xml:space="preserve"> a</w:t>
      </w:r>
      <w:r w:rsidR="00E701B4">
        <w:rPr>
          <w:lang w:val="en-US"/>
        </w:rPr>
        <w:t>re</w:t>
      </w:r>
      <w:r>
        <w:rPr>
          <w:lang w:val="en-US"/>
        </w:rPr>
        <w:t xml:space="preserve"> read in from a </w:t>
      </w:r>
      <w:proofErr w:type="spellStart"/>
      <w:r w:rsidR="00E701B4">
        <w:rPr>
          <w:lang w:val="en-US"/>
        </w:rPr>
        <w:t>netCDF</w:t>
      </w:r>
      <w:proofErr w:type="spellEnd"/>
      <w:r w:rsidR="00E701B4">
        <w:rPr>
          <w:lang w:val="en-US"/>
        </w:rPr>
        <w:t xml:space="preserve"> </w:t>
      </w:r>
      <w:r>
        <w:rPr>
          <w:lang w:val="en-US"/>
        </w:rPr>
        <w:t>file denoted as Ocean File.</w:t>
      </w:r>
      <w:r w:rsidR="00E701B4">
        <w:rPr>
          <w:lang w:val="en-US"/>
        </w:rPr>
        <w:t xml:space="preserve"> Four Ocean files for the four sea salt emissions cases base, </w:t>
      </w:r>
      <w:proofErr w:type="spellStart"/>
      <w:r w:rsidR="00E701B4">
        <w:rPr>
          <w:lang w:val="en-US"/>
        </w:rPr>
        <w:t>noSurf</w:t>
      </w:r>
      <w:proofErr w:type="spellEnd"/>
      <w:r w:rsidR="00E701B4">
        <w:rPr>
          <w:lang w:val="en-US"/>
        </w:rPr>
        <w:t xml:space="preserve">, zero and full </w:t>
      </w:r>
      <w:r w:rsidR="00E37D81">
        <w:rPr>
          <w:lang w:val="en-US"/>
        </w:rPr>
        <w:t xml:space="preserve">were created and </w:t>
      </w:r>
      <w:r w:rsidR="00E701B4">
        <w:rPr>
          <w:lang w:val="en-US"/>
        </w:rPr>
        <w:t xml:space="preserve">are attached. Below, the general structure of the Ocean File and the procedure applied for </w:t>
      </w:r>
      <w:r w:rsidR="00E37D81">
        <w:rPr>
          <w:lang w:val="en-US"/>
        </w:rPr>
        <w:t xml:space="preserve">creating it </w:t>
      </w:r>
      <w:r w:rsidR="00E701B4">
        <w:rPr>
          <w:lang w:val="en-US"/>
        </w:rPr>
        <w:t>are described.</w:t>
      </w:r>
    </w:p>
    <w:p w14:paraId="7958E2AB" w14:textId="77777777" w:rsidR="00E701B4" w:rsidRDefault="000F6C57" w:rsidP="004B2EC6">
      <w:pPr>
        <w:jc w:val="both"/>
        <w:rPr>
          <w:lang w:val="en-US"/>
        </w:rPr>
      </w:pPr>
      <w:r>
        <w:rPr>
          <w:lang w:val="en-US"/>
        </w:rPr>
        <w:t xml:space="preserve">The ocean file contains three variables: MAKS, OPEN and SURF. </w:t>
      </w:r>
      <w:r w:rsidR="00B05C51">
        <w:rPr>
          <w:lang w:val="en-US"/>
        </w:rPr>
        <w:t>T</w:t>
      </w:r>
      <w:r w:rsidR="00926666">
        <w:rPr>
          <w:lang w:val="en-US"/>
        </w:rPr>
        <w:t xml:space="preserve">he </w:t>
      </w:r>
      <w:r w:rsidR="00B05C51">
        <w:rPr>
          <w:lang w:val="en-US"/>
        </w:rPr>
        <w:t xml:space="preserve">variable MASK </w:t>
      </w:r>
      <w:r w:rsidR="00E701B4">
        <w:rPr>
          <w:lang w:val="en-US"/>
        </w:rPr>
        <w:t xml:space="preserve">is the land-coast-ocean mask </w:t>
      </w:r>
      <w:r w:rsidR="00E37D81">
        <w:rPr>
          <w:lang w:val="en-US"/>
        </w:rPr>
        <w:t xml:space="preserve">which </w:t>
      </w:r>
      <w:r w:rsidR="00926666">
        <w:rPr>
          <w:lang w:val="en-US"/>
        </w:rPr>
        <w:t>define</w:t>
      </w:r>
      <w:r w:rsidR="00B05C51">
        <w:rPr>
          <w:lang w:val="en-US"/>
        </w:rPr>
        <w:t>s</w:t>
      </w:r>
      <w:r w:rsidR="00926666">
        <w:rPr>
          <w:lang w:val="en-US"/>
        </w:rPr>
        <w:t xml:space="preserve"> </w:t>
      </w:r>
      <w:r w:rsidR="00B05C51">
        <w:rPr>
          <w:lang w:val="en-US"/>
        </w:rPr>
        <w:t>whether</w:t>
      </w:r>
      <w:r w:rsidR="00926666">
        <w:rPr>
          <w:lang w:val="en-US"/>
        </w:rPr>
        <w:t xml:space="preserve"> a grid cell is coastline, </w:t>
      </w:r>
      <w:proofErr w:type="gramStart"/>
      <w:r w:rsidR="00926666">
        <w:rPr>
          <w:lang w:val="en-US"/>
        </w:rPr>
        <w:t>open ocean</w:t>
      </w:r>
      <w:proofErr w:type="gramEnd"/>
      <w:r w:rsidR="00926666">
        <w:rPr>
          <w:lang w:val="en-US"/>
        </w:rPr>
        <w:t xml:space="preserve"> or land</w:t>
      </w:r>
      <w:r w:rsidR="000C34EF">
        <w:rPr>
          <w:lang w:val="en-US"/>
        </w:rPr>
        <w:t xml:space="preserve"> by taking the</w:t>
      </w:r>
      <w:r w:rsidR="00E701B4">
        <w:rPr>
          <w:lang w:val="en-US"/>
        </w:rPr>
        <w:t xml:space="preserve"> values 1, 2 or 0, respectively</w:t>
      </w:r>
      <w:r w:rsidR="00926666">
        <w:rPr>
          <w:lang w:val="en-US"/>
        </w:rPr>
        <w:t>.</w:t>
      </w:r>
      <w:r w:rsidR="00737F7D">
        <w:rPr>
          <w:lang w:val="en-US"/>
        </w:rPr>
        <w:t xml:space="preserve"> </w:t>
      </w:r>
      <w:r w:rsidR="00E701B4">
        <w:rPr>
          <w:lang w:val="en-US"/>
        </w:rPr>
        <w:t>SURF and OPEN contain the surf zone and open ocean fractions</w:t>
      </w:r>
      <w:r w:rsidR="00E37D81">
        <w:rPr>
          <w:lang w:val="en-US"/>
        </w:rPr>
        <w:t xml:space="preserve"> per grid cell</w:t>
      </w:r>
      <w:r w:rsidR="00E701B4">
        <w:rPr>
          <w:lang w:val="en-US"/>
        </w:rPr>
        <w:t xml:space="preserve"> taking values between 0 and 1.</w:t>
      </w:r>
    </w:p>
    <w:p w14:paraId="61FCB8F9" w14:textId="77777777" w:rsidR="007524A8" w:rsidRDefault="007524A8" w:rsidP="004B2EC6">
      <w:pPr>
        <w:jc w:val="both"/>
        <w:rPr>
          <w:lang w:val="en-US"/>
        </w:rPr>
      </w:pPr>
      <w:r>
        <w:rPr>
          <w:lang w:val="en-US"/>
        </w:rPr>
        <w:t>For calculating the surf zone area we imported the coastlines of the Natural Earth large scale data set</w:t>
      </w:r>
      <w:r w:rsidR="00926666">
        <w:rPr>
          <w:lang w:val="en-US"/>
        </w:rPr>
        <w:t xml:space="preserve"> </w:t>
      </w:r>
      <w:r w:rsidR="00B05C51">
        <w:rPr>
          <w:lang w:val="en-US"/>
        </w:rPr>
        <w:t xml:space="preserve">version </w:t>
      </w:r>
      <w:r w:rsidR="00CA4DFE">
        <w:rPr>
          <w:lang w:val="en-US"/>
        </w:rPr>
        <w:t>3.1.0</w:t>
      </w:r>
      <w:r>
        <w:rPr>
          <w:lang w:val="en-US"/>
        </w:rPr>
        <w:t xml:space="preserve"> into ArcGIS</w:t>
      </w:r>
      <w:r w:rsidR="00926666">
        <w:rPr>
          <w:lang w:val="en-US"/>
        </w:rPr>
        <w:t xml:space="preserve"> </w:t>
      </w:r>
      <w:r w:rsidR="00CA4DFE">
        <w:rPr>
          <w:lang w:val="en-US"/>
        </w:rPr>
        <w:t>10.2.1</w:t>
      </w:r>
      <w:r>
        <w:rPr>
          <w:lang w:val="en-US"/>
        </w:rPr>
        <w:t>, added a stripe of 50 m width to the outer side of the coast</w:t>
      </w:r>
      <w:r w:rsidR="00926666">
        <w:rPr>
          <w:lang w:val="en-US"/>
        </w:rPr>
        <w:t xml:space="preserve"> </w:t>
      </w:r>
      <w:r w:rsidR="00CA4DFE">
        <w:rPr>
          <w:lang w:val="en-US"/>
        </w:rPr>
        <w:t>with the ArcGIS buffer tool</w:t>
      </w:r>
      <w:r>
        <w:rPr>
          <w:lang w:val="en-US"/>
        </w:rPr>
        <w:t xml:space="preserve"> and calculated the area within the stripe per grid cell. Overlapping </w:t>
      </w:r>
      <w:r w:rsidR="00926666">
        <w:rPr>
          <w:lang w:val="en-US"/>
        </w:rPr>
        <w:t xml:space="preserve">areas of two and more </w:t>
      </w:r>
      <w:r>
        <w:rPr>
          <w:lang w:val="en-US"/>
        </w:rPr>
        <w:t xml:space="preserve">stripes were not counted twice. </w:t>
      </w:r>
      <w:r w:rsidR="00737F7D">
        <w:rPr>
          <w:lang w:val="en-US"/>
        </w:rPr>
        <w:t xml:space="preserve">Open ocean area and land area per grid cell </w:t>
      </w:r>
      <w:bookmarkStart w:id="1" w:name="_GoBack"/>
      <w:bookmarkEnd w:id="1"/>
      <w:r w:rsidR="00737F7D">
        <w:rPr>
          <w:lang w:val="en-US"/>
        </w:rPr>
        <w:t xml:space="preserve">were also calculated by ArcGIS. </w:t>
      </w:r>
      <w:r w:rsidR="00CA4DFE">
        <w:rPr>
          <w:lang w:val="en-US"/>
        </w:rPr>
        <w:t xml:space="preserve">By looking on </w:t>
      </w:r>
      <w:r>
        <w:rPr>
          <w:lang w:val="en-US"/>
        </w:rPr>
        <w:t>Natural Earth coastlines</w:t>
      </w:r>
      <w:r w:rsidR="00CA4DFE">
        <w:rPr>
          <w:lang w:val="en-US"/>
        </w:rPr>
        <w:t xml:space="preserve"> we assume</w:t>
      </w:r>
      <w:r w:rsidR="00737F7D">
        <w:rPr>
          <w:lang w:val="en-US"/>
        </w:rPr>
        <w:t>d</w:t>
      </w:r>
      <w:r w:rsidR="00CA4DFE">
        <w:rPr>
          <w:lang w:val="en-US"/>
        </w:rPr>
        <w:t xml:space="preserve"> that </w:t>
      </w:r>
      <w:r w:rsidR="00737F7D">
        <w:rPr>
          <w:lang w:val="en-US"/>
        </w:rPr>
        <w:t>coastlines are represented in sufficient resolution</w:t>
      </w:r>
      <w:r>
        <w:rPr>
          <w:lang w:val="en-US"/>
        </w:rPr>
        <w:t>.</w:t>
      </w:r>
    </w:p>
    <w:p w14:paraId="3751163A" w14:textId="77777777" w:rsidR="00E701B4" w:rsidRDefault="007524A8" w:rsidP="004B2EC6">
      <w:pPr>
        <w:jc w:val="both"/>
        <w:rPr>
          <w:lang w:val="en-US"/>
        </w:rPr>
      </w:pPr>
      <w:r>
        <w:rPr>
          <w:lang w:val="en-US"/>
        </w:rPr>
        <w:t>The result</w:t>
      </w:r>
      <w:r w:rsidR="00926666">
        <w:rPr>
          <w:lang w:val="en-US"/>
        </w:rPr>
        <w:t>ing ocean file</w:t>
      </w:r>
      <w:r>
        <w:rPr>
          <w:lang w:val="en-US"/>
        </w:rPr>
        <w:t xml:space="preserve"> w</w:t>
      </w:r>
      <w:r w:rsidR="00926666">
        <w:rPr>
          <w:lang w:val="en-US"/>
        </w:rPr>
        <w:t>as</w:t>
      </w:r>
      <w:r>
        <w:rPr>
          <w:lang w:val="en-US"/>
        </w:rPr>
        <w:t xml:space="preserve"> post processed</w:t>
      </w:r>
      <w:r w:rsidR="00926666">
        <w:rPr>
          <w:lang w:val="en-US"/>
        </w:rPr>
        <w:t xml:space="preserve"> which is commonly not the case for CMAQ ocean files</w:t>
      </w:r>
      <w:r w:rsidR="00E701B4">
        <w:rPr>
          <w:lang w:val="en-US"/>
        </w:rPr>
        <w:t>:</w:t>
      </w:r>
      <w:r>
        <w:rPr>
          <w:lang w:val="en-US"/>
        </w:rPr>
        <w:t xml:space="preserve"> </w:t>
      </w:r>
      <w:r w:rsidR="00E701B4">
        <w:rPr>
          <w:lang w:val="en-US"/>
        </w:rPr>
        <w:t>First</w:t>
      </w:r>
      <w:r w:rsidR="00926666">
        <w:rPr>
          <w:lang w:val="en-US"/>
        </w:rPr>
        <w:t xml:space="preserve">, </w:t>
      </w:r>
      <w:r w:rsidR="00466087">
        <w:rPr>
          <w:lang w:val="en-US"/>
        </w:rPr>
        <w:t>the surf zone area was limited by a threshold</w:t>
      </w:r>
      <w:r w:rsidR="00E701B4">
        <w:rPr>
          <w:lang w:val="en-US"/>
        </w:rPr>
        <w:t xml:space="preserve"> (see below for details)</w:t>
      </w:r>
      <w:r w:rsidR="00466087">
        <w:rPr>
          <w:lang w:val="en-US"/>
        </w:rPr>
        <w:t xml:space="preserve">. </w:t>
      </w:r>
      <w:r w:rsidR="00E701B4">
        <w:rPr>
          <w:lang w:val="en-US"/>
        </w:rPr>
        <w:t>Second</w:t>
      </w:r>
      <w:r w:rsidR="00466087">
        <w:rPr>
          <w:lang w:val="en-US"/>
        </w:rPr>
        <w:t xml:space="preserve">, the ocean file was scaled </w:t>
      </w:r>
      <w:r w:rsidR="00E701B4">
        <w:rPr>
          <w:lang w:val="en-US"/>
        </w:rPr>
        <w:t xml:space="preserve">linearly with the </w:t>
      </w:r>
      <w:r w:rsidR="00466087">
        <w:rPr>
          <w:lang w:val="en-US"/>
        </w:rPr>
        <w:t>salinity</w:t>
      </w:r>
      <w:r w:rsidR="00E701B4">
        <w:rPr>
          <w:lang w:val="en-US"/>
        </w:rPr>
        <w:t xml:space="preserve"> (see below for details)</w:t>
      </w:r>
      <w:r w:rsidR="00466087">
        <w:rPr>
          <w:lang w:val="en-US"/>
        </w:rPr>
        <w:t>.</w:t>
      </w:r>
    </w:p>
    <w:p w14:paraId="3CCE8CE2" w14:textId="77777777" w:rsidR="009F6D63" w:rsidRDefault="009F6D63" w:rsidP="009F6D63">
      <w:pPr>
        <w:pStyle w:val="Heading2"/>
        <w:rPr>
          <w:lang w:val="en-US"/>
        </w:rPr>
      </w:pPr>
      <w:bookmarkStart w:id="2" w:name="_Toc440538740"/>
      <w:r>
        <w:rPr>
          <w:lang w:val="en-US"/>
        </w:rPr>
        <w:t>Limited surf zone</w:t>
      </w:r>
      <w:bookmarkEnd w:id="2"/>
    </w:p>
    <w:p w14:paraId="5AFF7D76" w14:textId="77777777" w:rsidR="004B2EC6" w:rsidRDefault="00BA0561" w:rsidP="00B828D0">
      <w:pPr>
        <w:rPr>
          <w:lang w:val="en-US"/>
        </w:rPr>
      </w:pPr>
      <w:r>
        <w:rPr>
          <w:lang w:val="en-US"/>
        </w:rPr>
        <w:t>A</w:t>
      </w:r>
      <w:r w:rsidR="000C34EF">
        <w:rPr>
          <w:lang w:val="en-US"/>
        </w:rPr>
        <w:t xml:space="preserve">ll </w:t>
      </w:r>
      <w:proofErr w:type="spellStart"/>
      <w:r w:rsidR="000C34EF">
        <w:rPr>
          <w:lang w:val="en-US"/>
        </w:rPr>
        <w:t>bights</w:t>
      </w:r>
      <w:proofErr w:type="spellEnd"/>
      <w:r w:rsidR="000C34EF">
        <w:rPr>
          <w:lang w:val="en-US"/>
        </w:rPr>
        <w:t xml:space="preserve"> and fjords are included in the ArcGIS calculations. However, in protected bights and fjords there is no surf zone. </w:t>
      </w:r>
      <w:r w:rsidR="00466087">
        <w:rPr>
          <w:lang w:val="en-US"/>
        </w:rPr>
        <w:t xml:space="preserve">We arbitrarily defined a maximum effective surf zone shape </w:t>
      </w:r>
      <w:r w:rsidR="001B6F54">
        <w:rPr>
          <w:lang w:val="en-US"/>
        </w:rPr>
        <w:t xml:space="preserve">as plotted in </w:t>
      </w:r>
      <w:r w:rsidR="00457C35">
        <w:rPr>
          <w:lang w:val="en-US"/>
        </w:rPr>
        <w:fldChar w:fldCharType="begin"/>
      </w:r>
      <w:r w:rsidR="00457C35">
        <w:rPr>
          <w:lang w:val="en-US"/>
        </w:rPr>
        <w:instrText xml:space="preserve"> REF _Ref430682090 \h </w:instrText>
      </w:r>
      <w:r w:rsidR="00B828D0">
        <w:rPr>
          <w:lang w:val="en-US"/>
        </w:rPr>
        <w:instrText xml:space="preserve"> \* MERGEFORMAT </w:instrText>
      </w:r>
      <w:r w:rsidR="00457C35">
        <w:rPr>
          <w:lang w:val="en-US"/>
        </w:rPr>
      </w:r>
      <w:r w:rsidR="00457C35">
        <w:rPr>
          <w:lang w:val="en-US"/>
        </w:rPr>
        <w:fldChar w:fldCharType="separate"/>
      </w:r>
      <w:r w:rsidR="00B828D0" w:rsidRPr="009C5763">
        <w:t>Figure S1</w:t>
      </w:r>
      <w:r w:rsidR="00457C35">
        <w:rPr>
          <w:lang w:val="en-US"/>
        </w:rPr>
        <w:fldChar w:fldCharType="end"/>
      </w:r>
      <w:r w:rsidR="00466087">
        <w:rPr>
          <w:lang w:val="en-US"/>
        </w:rPr>
        <w:t xml:space="preserve">. </w:t>
      </w:r>
      <w:r>
        <w:rPr>
          <w:lang w:val="en-US"/>
        </w:rPr>
        <w:t>T</w:t>
      </w:r>
      <w:r w:rsidR="00466087">
        <w:rPr>
          <w:lang w:val="en-US"/>
        </w:rPr>
        <w:t xml:space="preserve">he maximum surf zone </w:t>
      </w:r>
      <w:r w:rsidR="00955430">
        <w:rPr>
          <w:lang w:val="en-US"/>
        </w:rPr>
        <w:t>fraction</w:t>
      </w:r>
      <w:r w:rsidR="00466087">
        <w:rPr>
          <w:lang w:val="en-US"/>
        </w:rPr>
        <w:t xml:space="preserve"> </w:t>
      </w:r>
      <w:r w:rsidR="00B05C51">
        <w:rPr>
          <w:lang w:val="en-US"/>
        </w:rPr>
        <w:t xml:space="preserve">in the </w:t>
      </w:r>
      <w:r w:rsidR="001B6F54">
        <w:rPr>
          <w:lang w:val="en-US"/>
        </w:rPr>
        <w:t xml:space="preserve">24 km </w:t>
      </w:r>
      <w:r w:rsidR="00B05C51">
        <w:rPr>
          <w:lang w:val="en-US"/>
        </w:rPr>
        <w:t xml:space="preserve">grid </w:t>
      </w:r>
      <w:r w:rsidR="009C5763">
        <w:rPr>
          <w:lang w:val="en-US"/>
        </w:rPr>
        <w:t>is calculated in Eq. (S</w:t>
      </w:r>
      <w:r>
        <w:rPr>
          <w:lang w:val="en-US"/>
        </w:rPr>
        <w:t xml:space="preserve">1). </w:t>
      </w:r>
      <w:r w:rsidR="00955430">
        <w:rPr>
          <w:lang w:val="en-US"/>
        </w:rPr>
        <w:t xml:space="preserve">The surf zone fraction was capped at this value. </w:t>
      </w:r>
      <w:r>
        <w:rPr>
          <w:lang w:val="en-US"/>
        </w:rPr>
        <w:t>The excess area fraction was added to the open ocean area.</w:t>
      </w:r>
    </w:p>
    <w:p w14:paraId="167CFD06" w14:textId="77777777" w:rsidR="00873872" w:rsidRPr="004253A8" w:rsidRDefault="00EF2CE8" w:rsidP="004B2EC6">
      <w:pPr>
        <w:jc w:val="both"/>
        <w:rPr>
          <w:rFonts w:eastAsiaTheme="minorEastAsia"/>
          <w:lang w:val="de-DE"/>
        </w:rPr>
      </w:pPr>
      <m:oMathPara>
        <m:oMath>
          <m:func>
            <m:funcPr>
              <m:ctrlPr>
                <w:rPr>
                  <w:rFonts w:ascii="Cambria Math" w:hAnsi="Cambria Math"/>
                  <w:i/>
                  <w:lang w:val="en-US"/>
                </w:rPr>
              </m:ctrlPr>
            </m:funcPr>
            <m:fName>
              <m:sSub>
                <m:sSubPr>
                  <m:ctrlPr>
                    <w:rPr>
                      <w:rFonts w:ascii="Cambria Math" w:hAnsi="Cambria Math"/>
                      <w:i/>
                      <w:lang w:val="en-US"/>
                    </w:rPr>
                  </m:ctrlPr>
                </m:sSubPr>
                <m:e>
                  <m:r>
                    <m:rPr>
                      <m:nor/>
                    </m:rPr>
                    <w:rPr>
                      <w:rFonts w:ascii="Cambria Math" w:hAnsi="Cambria Math"/>
                      <w:lang w:val="de-DE"/>
                    </w:rPr>
                    <m:t>SURF</m:t>
                  </m:r>
                </m:e>
                <m:sub>
                  <m:r>
                    <w:rPr>
                      <w:rFonts w:ascii="Cambria Math" w:hAnsi="Cambria Math"/>
                      <w:lang w:val="en-US"/>
                    </w:rPr>
                    <m:t>mx</m:t>
                  </m:r>
                </m:sub>
              </m:sSub>
            </m:fName>
            <m:e>
              <m:r>
                <w:rPr>
                  <w:rFonts w:ascii="Cambria Math" w:hAnsi="Cambria Math"/>
                  <w:lang w:val="de-DE"/>
                </w:rPr>
                <m:t>=</m:t>
              </m:r>
              <m:f>
                <m:fPr>
                  <m:ctrlPr>
                    <w:rPr>
                      <w:rFonts w:ascii="Cambria Math" w:hAnsi="Cambria Math"/>
                      <w:i/>
                      <w:lang w:val="en-US"/>
                    </w:rPr>
                  </m:ctrlPr>
                </m:fPr>
                <m:num>
                  <m:d>
                    <m:dPr>
                      <m:ctrlPr>
                        <w:rPr>
                          <w:rFonts w:ascii="Cambria Math" w:hAnsi="Cambria Math"/>
                          <w:i/>
                          <w:lang w:val="en-US"/>
                        </w:rPr>
                      </m:ctrlPr>
                    </m:dPr>
                    <m:e>
                      <m:rad>
                        <m:radPr>
                          <m:degHide m:val="1"/>
                          <m:ctrlPr>
                            <w:rPr>
                              <w:rFonts w:ascii="Cambria Math" w:hAnsi="Cambria Math"/>
                              <w:i/>
                              <w:lang w:val="en-US"/>
                            </w:rPr>
                          </m:ctrlPr>
                        </m:radPr>
                        <m:deg/>
                        <m:e>
                          <m:r>
                            <w:rPr>
                              <w:rFonts w:ascii="Cambria Math" w:hAnsi="Cambria Math"/>
                              <w:lang w:val="de-DE"/>
                            </w:rPr>
                            <m:t>5</m:t>
                          </m:r>
                        </m:e>
                      </m:rad>
                      <m:r>
                        <w:rPr>
                          <w:rFonts w:ascii="Cambria Math" w:hAnsi="Cambria Math"/>
                          <w:lang w:val="de-DE"/>
                        </w:rPr>
                        <m:t xml:space="preserve">*50 </m:t>
                      </m:r>
                      <m:r>
                        <m:rPr>
                          <m:nor/>
                        </m:rPr>
                        <w:rPr>
                          <w:rFonts w:ascii="Cambria Math" w:hAnsi="Cambria Math"/>
                          <w:lang w:val="de-DE"/>
                        </w:rPr>
                        <m:t>m</m:t>
                      </m:r>
                      <m:r>
                        <w:rPr>
                          <w:rFonts w:ascii="Cambria Math" w:hAnsi="Cambria Math"/>
                          <w:lang w:val="de-DE"/>
                        </w:rPr>
                        <m:t xml:space="preserve">*24 </m:t>
                      </m:r>
                      <m:r>
                        <m:rPr>
                          <m:nor/>
                        </m:rPr>
                        <w:rPr>
                          <w:rFonts w:ascii="Cambria Math" w:hAnsi="Cambria Math"/>
                          <w:lang w:val="de-DE"/>
                        </w:rPr>
                        <m:t>km</m:t>
                      </m:r>
                    </m:e>
                  </m:d>
                </m:num>
                <m:den>
                  <m:sSup>
                    <m:sSupPr>
                      <m:ctrlPr>
                        <w:rPr>
                          <w:rFonts w:ascii="Cambria Math" w:hAnsi="Cambria Math"/>
                          <w:i/>
                          <w:lang w:val="en-US"/>
                        </w:rPr>
                      </m:ctrlPr>
                    </m:sSupPr>
                    <m:e>
                      <m:d>
                        <m:dPr>
                          <m:ctrlPr>
                            <w:rPr>
                              <w:rFonts w:ascii="Cambria Math" w:hAnsi="Cambria Math"/>
                              <w:i/>
                              <w:lang w:val="en-US"/>
                            </w:rPr>
                          </m:ctrlPr>
                        </m:dPr>
                        <m:e>
                          <m:r>
                            <w:rPr>
                              <w:rFonts w:ascii="Cambria Math" w:hAnsi="Cambria Math"/>
                              <w:lang w:val="de-DE"/>
                            </w:rPr>
                            <m:t xml:space="preserve">24 </m:t>
                          </m:r>
                          <m:r>
                            <m:rPr>
                              <m:nor/>
                            </m:rPr>
                            <w:rPr>
                              <w:rFonts w:ascii="Cambria Math" w:hAnsi="Cambria Math"/>
                              <w:lang w:val="de-DE"/>
                            </w:rPr>
                            <m:t>km</m:t>
                          </m:r>
                        </m:e>
                      </m:d>
                    </m:e>
                    <m:sup>
                      <m:r>
                        <w:rPr>
                          <w:rFonts w:ascii="Cambria Math" w:hAnsi="Cambria Math"/>
                          <w:lang w:val="de-DE"/>
                        </w:rPr>
                        <m:t>2</m:t>
                      </m:r>
                    </m:sup>
                  </m:sSup>
                </m:den>
              </m:f>
              <m:r>
                <w:rPr>
                  <w:rFonts w:ascii="Cambria Math" w:hAnsi="Cambria Math"/>
                  <w:lang w:val="de-DE"/>
                </w:rPr>
                <m:t>=</m:t>
              </m:r>
              <m:f>
                <m:fPr>
                  <m:ctrlPr>
                    <w:rPr>
                      <w:rFonts w:ascii="Cambria Math" w:hAnsi="Cambria Math"/>
                      <w:i/>
                      <w:lang w:val="en-US"/>
                    </w:rPr>
                  </m:ctrlPr>
                </m:fPr>
                <m:num>
                  <m:rad>
                    <m:radPr>
                      <m:degHide m:val="1"/>
                      <m:ctrlPr>
                        <w:rPr>
                          <w:rFonts w:ascii="Cambria Math" w:hAnsi="Cambria Math"/>
                          <w:i/>
                          <w:lang w:val="en-US"/>
                        </w:rPr>
                      </m:ctrlPr>
                    </m:radPr>
                    <m:deg/>
                    <m:e>
                      <m:r>
                        <w:rPr>
                          <w:rFonts w:ascii="Cambria Math" w:hAnsi="Cambria Math"/>
                          <w:lang w:val="de-DE"/>
                        </w:rPr>
                        <m:t xml:space="preserve">5 </m:t>
                      </m:r>
                    </m:e>
                  </m:rad>
                  <m:r>
                    <w:rPr>
                      <w:rFonts w:ascii="Cambria Math" w:hAnsi="Cambria Math"/>
                      <w:lang w:val="de-DE"/>
                    </w:rPr>
                    <m:t xml:space="preserve">*50 </m:t>
                  </m:r>
                  <m:r>
                    <m:rPr>
                      <m:nor/>
                    </m:rPr>
                    <w:rPr>
                      <w:rFonts w:ascii="Cambria Math" w:hAnsi="Cambria Math"/>
                      <w:lang w:val="de-DE"/>
                    </w:rPr>
                    <m:t>m</m:t>
                  </m:r>
                </m:num>
                <m:den>
                  <m:r>
                    <w:rPr>
                      <w:rFonts w:ascii="Cambria Math" w:hAnsi="Cambria Math"/>
                      <w:lang w:val="de-DE"/>
                    </w:rPr>
                    <m:t xml:space="preserve">24 </m:t>
                  </m:r>
                  <m:r>
                    <m:rPr>
                      <m:nor/>
                    </m:rPr>
                    <w:rPr>
                      <w:rFonts w:ascii="Cambria Math" w:hAnsi="Cambria Math"/>
                      <w:lang w:val="de-DE"/>
                    </w:rPr>
                    <m:t>km</m:t>
                  </m:r>
                </m:den>
              </m:f>
            </m:e>
          </m:func>
          <m:r>
            <w:rPr>
              <w:rFonts w:ascii="Cambria Math" w:eastAsiaTheme="minorEastAsia" w:hAnsi="Cambria Math"/>
              <w:lang w:val="de-DE"/>
            </w:rPr>
            <m:t xml:space="preserve">=0.004658≈0,47%                              </m:t>
          </m:r>
          <m:d>
            <m:dPr>
              <m:ctrlPr>
                <w:rPr>
                  <w:rFonts w:ascii="Cambria Math" w:eastAsiaTheme="minorEastAsia" w:hAnsi="Cambria Math"/>
                  <w:i/>
                  <w:lang w:val="en-US"/>
                </w:rPr>
              </m:ctrlPr>
            </m:dPr>
            <m:e>
              <m:r>
                <w:rPr>
                  <w:rFonts w:ascii="Cambria Math" w:eastAsiaTheme="minorEastAsia" w:hAnsi="Cambria Math"/>
                  <w:lang w:val="de-DE"/>
                </w:rPr>
                <m:t>S1</m:t>
              </m:r>
            </m:e>
          </m:d>
        </m:oMath>
      </m:oMathPara>
    </w:p>
    <w:p w14:paraId="54038AE6" w14:textId="763498BF" w:rsidR="009C5763" w:rsidRDefault="00955430" w:rsidP="004B2EC6">
      <w:pPr>
        <w:jc w:val="both"/>
        <w:rPr>
          <w:rFonts w:eastAsiaTheme="minorEastAsia"/>
          <w:lang w:val="en-US"/>
        </w:rPr>
      </w:pPr>
      <w:r>
        <w:rPr>
          <w:rFonts w:eastAsiaTheme="minorEastAsia"/>
          <w:lang w:val="en-US"/>
        </w:rPr>
        <w:fldChar w:fldCharType="begin"/>
      </w:r>
      <w:r>
        <w:rPr>
          <w:rFonts w:eastAsiaTheme="minorEastAsia"/>
          <w:lang w:val="en-US"/>
        </w:rPr>
        <w:instrText xml:space="preserve"> REF _Ref439850767 \h </w:instrText>
      </w:r>
      <w:r>
        <w:rPr>
          <w:rFonts w:eastAsiaTheme="minorEastAsia"/>
          <w:lang w:val="en-US"/>
        </w:rPr>
      </w:r>
      <w:r>
        <w:rPr>
          <w:rFonts w:eastAsiaTheme="minorEastAsia"/>
          <w:lang w:val="en-US"/>
        </w:rPr>
        <w:fldChar w:fldCharType="separate"/>
      </w:r>
      <w:r w:rsidRPr="009C5763">
        <w:t>Figure S2</w:t>
      </w:r>
      <w:r>
        <w:rPr>
          <w:rFonts w:eastAsiaTheme="minorEastAsia"/>
          <w:lang w:val="en-US"/>
        </w:rPr>
        <w:fldChar w:fldCharType="end"/>
      </w:r>
      <w:r>
        <w:rPr>
          <w:rFonts w:eastAsiaTheme="minorEastAsia"/>
          <w:lang w:val="en-US"/>
        </w:rPr>
        <w:t xml:space="preserve"> (a) shows the surf zone fraction after applying the capping (salinity scaling as described in section S1.2 is already applied). The surf zone fraction that was removed and added to the open ocean is shown in </w:t>
      </w:r>
      <w:r>
        <w:rPr>
          <w:rFonts w:eastAsiaTheme="minorEastAsia"/>
          <w:lang w:val="en-US"/>
        </w:rPr>
        <w:fldChar w:fldCharType="begin"/>
      </w:r>
      <w:r>
        <w:rPr>
          <w:rFonts w:eastAsiaTheme="minorEastAsia"/>
          <w:lang w:val="en-US"/>
        </w:rPr>
        <w:instrText xml:space="preserve"> REF _Ref439850767 \h </w:instrText>
      </w:r>
      <w:r>
        <w:rPr>
          <w:rFonts w:eastAsiaTheme="minorEastAsia"/>
          <w:lang w:val="en-US"/>
        </w:rPr>
      </w:r>
      <w:r>
        <w:rPr>
          <w:rFonts w:eastAsiaTheme="minorEastAsia"/>
          <w:lang w:val="en-US"/>
        </w:rPr>
        <w:fldChar w:fldCharType="separate"/>
      </w:r>
      <w:r w:rsidRPr="009C5763">
        <w:t>Figure S2</w:t>
      </w:r>
      <w:r>
        <w:rPr>
          <w:rFonts w:eastAsiaTheme="minorEastAsia"/>
          <w:lang w:val="en-US"/>
        </w:rPr>
        <w:fldChar w:fldCharType="end"/>
      </w:r>
      <w:r>
        <w:rPr>
          <w:rFonts w:eastAsiaTheme="minorEastAsia"/>
          <w:lang w:val="en-US"/>
        </w:rPr>
        <w:t xml:space="preserve"> (b). </w:t>
      </w:r>
      <w:r>
        <w:rPr>
          <w:rFonts w:eastAsiaTheme="minorEastAsia"/>
          <w:lang w:val="en-US"/>
        </w:rPr>
        <w:fldChar w:fldCharType="begin"/>
      </w:r>
      <w:r>
        <w:rPr>
          <w:rFonts w:eastAsiaTheme="minorEastAsia"/>
          <w:lang w:val="en-US"/>
        </w:rPr>
        <w:instrText xml:space="preserve"> REF _Ref439852357 \h </w:instrText>
      </w:r>
      <w:r>
        <w:rPr>
          <w:rFonts w:eastAsiaTheme="minorEastAsia"/>
          <w:lang w:val="en-US"/>
        </w:rPr>
      </w:r>
      <w:r>
        <w:rPr>
          <w:rFonts w:eastAsiaTheme="minorEastAsia"/>
          <w:lang w:val="en-US"/>
        </w:rPr>
        <w:fldChar w:fldCharType="separate"/>
      </w:r>
      <w:r>
        <w:t>Figure S</w:t>
      </w:r>
      <w:r>
        <w:rPr>
          <w:noProof/>
        </w:rPr>
        <w:t>3</w:t>
      </w:r>
      <w:r>
        <w:rPr>
          <w:rFonts w:eastAsiaTheme="minorEastAsia"/>
          <w:lang w:val="en-US"/>
        </w:rPr>
        <w:fldChar w:fldCharType="end"/>
      </w:r>
      <w:r>
        <w:rPr>
          <w:rFonts w:eastAsiaTheme="minorEastAsia"/>
          <w:lang w:val="en-US"/>
        </w:rPr>
        <w:t xml:space="preserve"> shows the impact of the capping on atmospheric sodium concentrations: cyan cross </w:t>
      </w:r>
      <w:r w:rsidR="00BC3976">
        <w:rPr>
          <w:rFonts w:eastAsiaTheme="minorEastAsia"/>
          <w:lang w:val="en-US"/>
        </w:rPr>
        <w:t xml:space="preserve">indicates </w:t>
      </w:r>
      <w:r>
        <w:rPr>
          <w:rFonts w:eastAsiaTheme="minorEastAsia"/>
          <w:lang w:val="en-US"/>
        </w:rPr>
        <w:t>conc</w:t>
      </w:r>
      <w:r w:rsidR="00BC3976">
        <w:rPr>
          <w:rFonts w:eastAsiaTheme="minorEastAsia"/>
          <w:lang w:val="en-US"/>
        </w:rPr>
        <w:t>entrations without applying t</w:t>
      </w:r>
      <w:r w:rsidR="001739F5">
        <w:rPr>
          <w:rFonts w:eastAsiaTheme="minorEastAsia"/>
          <w:lang w:val="en-US"/>
        </w:rPr>
        <w:t>he capping. The Waldhof station</w:t>
      </w:r>
      <w:r w:rsidR="00BC3976">
        <w:rPr>
          <w:rFonts w:eastAsiaTheme="minorEastAsia"/>
          <w:lang w:val="en-US"/>
        </w:rPr>
        <w:t xml:space="preserve"> was exchanged against the Ulborg station that is located directly at the Danish North Sea coast.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751"/>
      </w:tblGrid>
      <w:tr w:rsidR="009C5763" w:rsidRPr="009C5763" w14:paraId="5E85DBA4" w14:textId="77777777" w:rsidTr="00B828D0">
        <w:tc>
          <w:tcPr>
            <w:tcW w:w="4644" w:type="dxa"/>
            <w:vAlign w:val="center"/>
          </w:tcPr>
          <w:p w14:paraId="26F46A7B" w14:textId="77777777" w:rsidR="009C5763" w:rsidRDefault="009C5763" w:rsidP="009C5763">
            <w:pPr>
              <w:pStyle w:val="Caption"/>
              <w:keepNext/>
              <w:jc w:val="left"/>
            </w:pPr>
            <w:r>
              <w:rPr>
                <w:noProof/>
                <w:lang w:val="en-US"/>
              </w:rPr>
              <w:lastRenderedPageBreak/>
              <w:drawing>
                <wp:inline distT="0" distB="0" distL="0" distR="0" wp14:anchorId="118C700C" wp14:editId="53B32412">
                  <wp:extent cx="1785600" cy="1767600"/>
                  <wp:effectExtent l="0" t="0" r="571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l_max_eff_coastline_tmp.png"/>
                          <pic:cNvPicPr/>
                        </pic:nvPicPr>
                        <pic:blipFill>
                          <a:blip r:embed="rId9">
                            <a:extLst>
                              <a:ext uri="{28A0092B-C50C-407E-A947-70E740481C1C}">
                                <a14:useLocalDpi xmlns:a14="http://schemas.microsoft.com/office/drawing/2010/main" val="0"/>
                              </a:ext>
                            </a:extLst>
                          </a:blip>
                          <a:stretch>
                            <a:fillRect/>
                          </a:stretch>
                        </pic:blipFill>
                        <pic:spPr>
                          <a:xfrm>
                            <a:off x="0" y="0"/>
                            <a:ext cx="1785600" cy="1767600"/>
                          </a:xfrm>
                          <a:prstGeom prst="rect">
                            <a:avLst/>
                          </a:prstGeom>
                        </pic:spPr>
                      </pic:pic>
                    </a:graphicData>
                  </a:graphic>
                </wp:inline>
              </w:drawing>
            </w:r>
            <w:bookmarkStart w:id="3" w:name="_Ref430682090"/>
            <w:r w:rsidRPr="00457C35">
              <w:t xml:space="preserve"> </w:t>
            </w:r>
          </w:p>
          <w:p w14:paraId="09A5AAC2" w14:textId="77777777" w:rsidR="009C5763" w:rsidRPr="009C5763" w:rsidRDefault="009C5763" w:rsidP="009C5763">
            <w:pPr>
              <w:pStyle w:val="Caption"/>
            </w:pPr>
            <w:r w:rsidRPr="009C5763">
              <w:t>Figure S</w:t>
            </w:r>
            <w:fldSimple w:instr=" SEQ Figure \* ARABIC ">
              <w:r w:rsidR="00E23BEC">
                <w:rPr>
                  <w:noProof/>
                </w:rPr>
                <w:t>1</w:t>
              </w:r>
            </w:fldSimple>
            <w:bookmarkEnd w:id="3"/>
            <w:r w:rsidRPr="009C5763">
              <w:t>: Maximum effective surf zone.</w:t>
            </w:r>
          </w:p>
          <w:p w14:paraId="33947F30" w14:textId="77777777" w:rsidR="009C5763" w:rsidRPr="009C5763" w:rsidRDefault="009C5763" w:rsidP="009C5763">
            <w:pPr>
              <w:rPr>
                <w:rFonts w:eastAsiaTheme="minorEastAsia"/>
                <w:lang w:val="en-US"/>
              </w:rPr>
            </w:pPr>
          </w:p>
        </w:tc>
        <w:tc>
          <w:tcPr>
            <w:tcW w:w="4644" w:type="dxa"/>
            <w:vAlign w:val="center"/>
          </w:tcPr>
          <w:p w14:paraId="62E01C71" w14:textId="77777777" w:rsidR="009C5763" w:rsidRDefault="009C5763" w:rsidP="009C5763">
            <w:pPr>
              <w:keepNext/>
            </w:pPr>
            <w:r>
              <w:rPr>
                <w:noProof/>
                <w:lang w:val="en-US"/>
              </w:rPr>
              <w:drawing>
                <wp:inline distT="0" distB="0" distL="0" distR="0" wp14:anchorId="1A7BAAB9" wp14:editId="15512911">
                  <wp:extent cx="2880000" cy="369360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S01_surfCappin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3693600"/>
                          </a:xfrm>
                          <a:prstGeom prst="rect">
                            <a:avLst/>
                          </a:prstGeom>
                        </pic:spPr>
                      </pic:pic>
                    </a:graphicData>
                  </a:graphic>
                </wp:inline>
              </w:drawing>
            </w:r>
          </w:p>
          <w:p w14:paraId="4AB00A3E" w14:textId="77777777" w:rsidR="009C5763" w:rsidRPr="009C5763" w:rsidRDefault="009C5763" w:rsidP="009C5763">
            <w:pPr>
              <w:pStyle w:val="Caption"/>
            </w:pPr>
            <w:bookmarkStart w:id="4" w:name="_Ref439850767"/>
            <w:r w:rsidRPr="009C5763">
              <w:t>Figure S</w:t>
            </w:r>
            <w:fldSimple w:instr=" SEQ Figure \* ARABIC ">
              <w:r w:rsidR="00E23BEC">
                <w:rPr>
                  <w:noProof/>
                </w:rPr>
                <w:t>2</w:t>
              </w:r>
            </w:fldSimple>
            <w:bookmarkEnd w:id="4"/>
            <w:r w:rsidRPr="009C5763">
              <w:t>: Surf zone fraction per grid cell</w:t>
            </w:r>
            <w:r w:rsidR="00BC3976">
              <w:t xml:space="preserve"> in %</w:t>
            </w:r>
            <w:r w:rsidRPr="009C5763">
              <w:t>. (a) Surf zone fraction in the base case (capped according to Eq. (S1)). (b) Surf zone fraction that was remove</w:t>
            </w:r>
            <w:r w:rsidR="00B828D0">
              <w:t>d</w:t>
            </w:r>
            <w:r w:rsidRPr="009C5763">
              <w:t xml:space="preserve">: </w:t>
            </w:r>
            <w:r w:rsidRPr="009C5763">
              <w:rPr>
                <w:i/>
              </w:rPr>
              <w:t>[surf zone fraction, no capping] - [surf zone fraction, capping]</w:t>
            </w:r>
            <w:r>
              <w:t>.</w:t>
            </w:r>
          </w:p>
        </w:tc>
      </w:tr>
    </w:tbl>
    <w:p w14:paraId="50480ABA" w14:textId="77777777" w:rsidR="009C5763" w:rsidRPr="009C5763" w:rsidRDefault="009C5763" w:rsidP="004B2EC6">
      <w:pPr>
        <w:jc w:val="both"/>
        <w:rPr>
          <w:rFonts w:eastAsiaTheme="minorEastAsia"/>
          <w:lang w:val="en-US"/>
        </w:rPr>
      </w:pPr>
    </w:p>
    <w:p w14:paraId="76D06DD7" w14:textId="77777777" w:rsidR="00955430" w:rsidRDefault="00B80C27" w:rsidP="00955430">
      <w:pPr>
        <w:keepNext/>
      </w:pPr>
      <w:r>
        <w:rPr>
          <w:noProof/>
          <w:lang w:val="en-US"/>
        </w:rPr>
        <w:drawing>
          <wp:inline distT="0" distB="0" distL="0" distR="0" wp14:anchorId="65A12AF2" wp14:editId="72F96179">
            <wp:extent cx="5760720" cy="3744468"/>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C.timeseries.effectSeaSalt.v5.Na.threeStations.withSurf.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3744468"/>
                    </a:xfrm>
                    <a:prstGeom prst="rect">
                      <a:avLst/>
                    </a:prstGeom>
                  </pic:spPr>
                </pic:pic>
              </a:graphicData>
            </a:graphic>
          </wp:inline>
        </w:drawing>
      </w:r>
    </w:p>
    <w:p w14:paraId="3512BD01" w14:textId="77777777" w:rsidR="00B828D0" w:rsidRDefault="00955430" w:rsidP="00955430">
      <w:pPr>
        <w:pStyle w:val="Caption"/>
        <w:rPr>
          <w:lang w:val="en-US"/>
        </w:rPr>
      </w:pPr>
      <w:bookmarkStart w:id="5" w:name="_Ref439852357"/>
      <w:r>
        <w:t>Figure S</w:t>
      </w:r>
      <w:fldSimple w:instr=" SEQ Figure \* ARABIC ">
        <w:r w:rsidR="00E23BEC">
          <w:rPr>
            <w:noProof/>
          </w:rPr>
          <w:t>3</w:t>
        </w:r>
      </w:fldSimple>
      <w:bookmarkEnd w:id="5"/>
      <w:r>
        <w:t>: Similar to Fig. 5 but with the addition of sodium concentrations without surf zone capping (cross, cyan)</w:t>
      </w:r>
      <w:r>
        <w:rPr>
          <w:noProof/>
        </w:rPr>
        <w:t>. Instead of data from the Waldhof station, data from the Danish station Ulborg is shown.</w:t>
      </w:r>
    </w:p>
    <w:p w14:paraId="2AE9986C" w14:textId="77777777" w:rsidR="009C5763" w:rsidRDefault="009C5763" w:rsidP="009F6D63"/>
    <w:p w14:paraId="5E891E88" w14:textId="77777777" w:rsidR="009F6D63" w:rsidRPr="009F6D63" w:rsidRDefault="009F6D63" w:rsidP="009F6D63">
      <w:pPr>
        <w:pStyle w:val="Heading2"/>
      </w:pPr>
      <w:bookmarkStart w:id="6" w:name="_Toc440538741"/>
      <w:r>
        <w:lastRenderedPageBreak/>
        <w:t>Salinity Scaling</w:t>
      </w:r>
      <w:bookmarkEnd w:id="6"/>
    </w:p>
    <w:p w14:paraId="4D652331" w14:textId="77777777" w:rsidR="00CA1816" w:rsidRDefault="00391786" w:rsidP="004B2EC6">
      <w:pPr>
        <w:jc w:val="both"/>
        <w:rPr>
          <w:lang w:val="en-US"/>
        </w:rPr>
      </w:pPr>
      <w:r>
        <w:rPr>
          <w:lang w:val="en-US"/>
        </w:rPr>
        <w:fldChar w:fldCharType="begin" w:fldLock="1"/>
      </w:r>
      <w:r w:rsidR="00F853C7">
        <w:rPr>
          <w:lang w:val="en-US"/>
        </w:rPr>
        <w:instrText>ADDIN CSL_CITATION { "citationItems" : [ { "id" : "ITEM-1", "itemData" : { "DOI" : "10.1029/2002JD002263", "ISSN" : "2156-2202", "abstract" : "A major source of the primary marine aerosol is the bursting of air\nbubbles produced by breaking waves. Several source parameterizations\nare available from the literature, usually limited to particles with\na dry diameter D_p \\gt 1\\ \u03bcm. The objective of this work is\nto extend the current knowledge to submicrometer particles. Bubbles\nwere generated in synthetic seawater using a sintered glass filter,\nwith a size spectra that are only partly the same spectra as measured\nin the field. Bubble spectra, and size distributions of the resulting\naerosol (0.020-20.0\\ \u03bcm D_p) of the resulting aerosol, were\nmeasured for different salinity, water temperature (T_w), and bubble\nflux. The spectra show a minimum at \\approx1\\ \u03bcm D_p, which\nseparates two modes, one at \\approx 0.1\\ \u03bcm, with the largest\nnumber of particles, and one at 2.5\\ \u03bcm D_p. The modes show\ndifferent behavior with the variation of salinity and water temperature.\nWhen the water temperature increases, the number concentration Np\ndecreases for D_p \\lt 0.07 mm, whereas for D_p \\gt 0.35 mm,\nNp increases. The salinity effect suggests different droplet formation\nprocesses for droplets smaller and larger than 0.2\\ \u03bcm D_p.\nThe number of particles produced per size increment, time unit, and\nwhitecap surface (\u03a6) is described as a linear function of T_w\nand a polynomial function of D_p. Combining \u03a6 with the whitecap\ncoverage fraction W (in percent), an expression results for the\nprimary marine aerosol source flux dF_0/d\\log{D_p} = W \u03a6 (m^{-2}\ns^{-1}). The results are compared with other commonly used formulations\nas well as with recent field observations. Implications for aerosol-induced\neffects on climate are discussed.", "author" : [ { "dropping-particle" : "", "family" : "Martensson", "given" : "E M", "non-dropping-particle" : "", "parse-names" : false, "suffix" : "" }, { "dropping-particle" : "", "family" : "Nilsson", "given" : "E D", "non-dropping-particle" : "", "parse-names" : false, "suffix" : "" }, { "dropping-particle" : "", "family" : "Leeuw", "given" : "G", "non-dropping-particle" : "de", "parse-names" : false, "suffix" : "" }, { "dropping-particle" : "", "family" : "Cohen", "given" : "L H", "non-dropping-particle" : "", "parse-names" : false, "suffix" : "" }, { "dropping-particle" : "", "family" : "Hansson", "given" : "H.-C.", "non-dropping-particle" : "", "parse-names" : false, "suffix" : "" } ], "container-title" : "Journal of Geophysical Research: Atmospheres", "id" : "ITEM-1", "issue" : "D9", "issued" : { "date-parts" : [ [ "2003" ] ] }, "title" : "Laboratory simulations and parameterization of the primary marine aerosol production", "type" : "article-journal", "volume" : "108" }, "uris" : [ "http://www.mendeley.com/documents/?uuid=bbb3f823-2188-4303-b073-138ba58cb650" ] } ], "mendeley" : { "manualFormatting" : "Martensson et al. (2003)", "previouslyFormattedCitation" : "(Martensson et al. 2003)" }, "properties" : { "noteIndex" : 0 }, "schema" : "https://github.com/citation-style-language/schema/raw/master/csl-citation.json" }</w:instrText>
      </w:r>
      <w:r>
        <w:rPr>
          <w:lang w:val="en-US"/>
        </w:rPr>
        <w:fldChar w:fldCharType="separate"/>
      </w:r>
      <w:r w:rsidRPr="00391786">
        <w:rPr>
          <w:noProof/>
          <w:lang w:val="en-US"/>
        </w:rPr>
        <w:t xml:space="preserve">Martensson et al. </w:t>
      </w:r>
      <w:r>
        <w:rPr>
          <w:noProof/>
          <w:lang w:val="en-US"/>
        </w:rPr>
        <w:t>(</w:t>
      </w:r>
      <w:r w:rsidRPr="00391786">
        <w:rPr>
          <w:noProof/>
          <w:lang w:val="en-US"/>
        </w:rPr>
        <w:t>2003)</w:t>
      </w:r>
      <w:r>
        <w:rPr>
          <w:lang w:val="en-US"/>
        </w:rPr>
        <w:fldChar w:fldCharType="end"/>
      </w:r>
      <w:r>
        <w:rPr>
          <w:lang w:val="en-US"/>
        </w:rPr>
        <w:t xml:space="preserve"> </w:t>
      </w:r>
      <w:r w:rsidR="001B6F54">
        <w:rPr>
          <w:lang w:val="en-US"/>
        </w:rPr>
        <w:t>found</w:t>
      </w:r>
      <w:r>
        <w:rPr>
          <w:lang w:val="en-US"/>
        </w:rPr>
        <w:t xml:space="preserve"> an effect of salinity on sea salt emissions. </w:t>
      </w:r>
      <w:r w:rsidR="00466087">
        <w:rPr>
          <w:lang w:val="en-US"/>
        </w:rPr>
        <w:t xml:space="preserve">Working in the European domain, makes salinity correction of sea salt emissions necessary because the salinity in most parts of the Baltic Sea is </w:t>
      </w:r>
      <w:r w:rsidR="00E701B4">
        <w:rPr>
          <w:lang w:val="en-US"/>
        </w:rPr>
        <w:t>below</w:t>
      </w:r>
      <w:r w:rsidR="00466087">
        <w:rPr>
          <w:lang w:val="en-US"/>
        </w:rPr>
        <w:t xml:space="preserve"> 10</w:t>
      </w:r>
      <w:r w:rsidR="00E701B4">
        <w:rPr>
          <w:rFonts w:cstheme="minorHAnsi"/>
          <w:lang w:val="en-US"/>
        </w:rPr>
        <w:t>‰</w:t>
      </w:r>
      <w:r w:rsidR="00466087">
        <w:rPr>
          <w:lang w:val="en-US"/>
        </w:rPr>
        <w:t xml:space="preserve">. </w:t>
      </w:r>
      <w:r>
        <w:rPr>
          <w:lang w:val="en-US"/>
        </w:rPr>
        <w:t>In order to reduce sea salt emissions according to local salinity, t</w:t>
      </w:r>
      <w:r w:rsidR="0080777D">
        <w:rPr>
          <w:lang w:val="en-US"/>
        </w:rPr>
        <w:t xml:space="preserve">he values </w:t>
      </w:r>
      <w:r>
        <w:rPr>
          <w:lang w:val="en-US"/>
        </w:rPr>
        <w:t>of</w:t>
      </w:r>
      <w:r w:rsidR="0080777D">
        <w:rPr>
          <w:lang w:val="en-US"/>
        </w:rPr>
        <w:t xml:space="preserve"> OPEN and SURF were </w:t>
      </w:r>
      <w:r w:rsidR="00466087">
        <w:rPr>
          <w:lang w:val="en-US"/>
        </w:rPr>
        <w:t xml:space="preserve">linearly </w:t>
      </w:r>
      <w:r w:rsidR="0080777D">
        <w:rPr>
          <w:lang w:val="en-US"/>
        </w:rPr>
        <w:t>scaled by the salinity</w:t>
      </w:r>
      <w:r w:rsidR="00E701B4">
        <w:rPr>
          <w:lang w:val="en-US"/>
        </w:rPr>
        <w:t xml:space="preserve"> </w:t>
      </w:r>
      <w:r w:rsidR="00E701B4" w:rsidRPr="00E701B4">
        <w:rPr>
          <w:i/>
          <w:lang w:val="en-US"/>
        </w:rPr>
        <w:t>S</w:t>
      </w:r>
      <w:r w:rsidR="0080777D">
        <w:rPr>
          <w:lang w:val="en-US"/>
        </w:rPr>
        <w:t xml:space="preserve">: each value multiplied by </w:t>
      </w:r>
      <w:r w:rsidR="001B6F54" w:rsidRPr="001B6F54">
        <w:rPr>
          <w:i/>
          <w:lang w:val="en-US"/>
        </w:rPr>
        <w:t>S</w:t>
      </w:r>
      <w:r w:rsidR="001B6F54">
        <w:rPr>
          <w:lang w:val="en-US"/>
        </w:rPr>
        <w:t>/35</w:t>
      </w:r>
      <w:r w:rsidR="00C03E33">
        <w:rPr>
          <w:lang w:val="en-US"/>
        </w:rPr>
        <w:t>‰</w:t>
      </w:r>
      <w:r w:rsidR="0080777D">
        <w:rPr>
          <w:lang w:val="en-US"/>
        </w:rPr>
        <w:t xml:space="preserve">. </w:t>
      </w:r>
      <w:r>
        <w:rPr>
          <w:lang w:val="en-US"/>
        </w:rPr>
        <w:fldChar w:fldCharType="begin" w:fldLock="1"/>
      </w:r>
      <w:r w:rsidR="00F853C7">
        <w:rPr>
          <w:lang w:val="en-US"/>
        </w:rPr>
        <w:instrText>ADDIN CSL_CITATION { "citationItems" : [ { "id" : "ITEM-1", "itemData" : { "DOI" : "10.1029/2002JD002263", "ISSN" : "2156-2202", "abstract" : "A major source of the primary marine aerosol is the bursting of air\nbubbles produced by breaking waves. Several source parameterizations\nare available from the literature, usually limited to particles with\na dry diameter D_p \\gt 1\\ \u03bcm. The objective of this work is\nto extend the current knowledge to submicrometer particles. Bubbles\nwere generated in synthetic seawater using a sintered glass filter,\nwith a size spectra that are only partly the same spectra as measured\nin the field. Bubble spectra, and size distributions of the resulting\naerosol (0.020-20.0\\ \u03bcm D_p) of the resulting aerosol, were\nmeasured for different salinity, water temperature (T_w), and bubble\nflux. The spectra show a minimum at \\approx1\\ \u03bcm D_p, which\nseparates two modes, one at \\approx 0.1\\ \u03bcm, with the largest\nnumber of particles, and one at 2.5\\ \u03bcm D_p. The modes show\ndifferent behavior with the variation of salinity and water temperature.\nWhen the water temperature increases, the number concentration Np\ndecreases for D_p \\lt 0.07 mm, whereas for D_p \\gt 0.35 mm,\nNp increases. The salinity effect suggests different droplet formation\nprocesses for droplets smaller and larger than 0.2\\ \u03bcm D_p.\nThe number of particles produced per size increment, time unit, and\nwhitecap surface (\u03a6) is described as a linear function of T_w\nand a polynomial function of D_p. Combining \u03a6 with the whitecap\ncoverage fraction W (in percent), an expression results for the\nprimary marine aerosol source flux dF_0/d\\log{D_p} = W \u03a6 (m^{-2}\ns^{-1}). The results are compared with other commonly used formulations\nas well as with recent field observations. Implications for aerosol-induced\neffects on climate are discussed.", "author" : [ { "dropping-particle" : "", "family" : "Martensson", "given" : "E M", "non-dropping-particle" : "", "parse-names" : false, "suffix" : "" }, { "dropping-particle" : "", "family" : "Nilsson", "given" : "E D", "non-dropping-particle" : "", "parse-names" : false, "suffix" : "" }, { "dropping-particle" : "", "family" : "Leeuw", "given" : "G", "non-dropping-particle" : "de", "parse-names" : false, "suffix" : "" }, { "dropping-particle" : "", "family" : "Cohen", "given" : "L H", "non-dropping-particle" : "", "parse-names" : false, "suffix" : "" }, { "dropping-particle" : "", "family" : "Hansson", "given" : "H.-C.", "non-dropping-particle" : "", "parse-names" : false, "suffix" : "" } ], "container-title" : "Journal of Geophysical Research: Atmospheres", "id" : "ITEM-1", "issue" : "D9", "issued" : { "date-parts" : [ [ "2003" ] ] }, "title" : "Laboratory simulations and parameterization of the primary marine aerosol production", "type" : "article-journal", "volume" : "108" }, "uris" : [ "http://www.mendeley.com/documents/?uuid=bbb3f823-2188-4303-b073-138ba58cb650" ] } ], "mendeley" : { "manualFormatting" : "Martensson et al. (2003)", "previouslyFormattedCitation" : "(Martensson et al. 2003)" }, "properties" : { "noteIndex" : 0 }, "schema" : "https://github.com/citation-style-language/schema/raw/master/csl-citation.json" }</w:instrText>
      </w:r>
      <w:r>
        <w:rPr>
          <w:lang w:val="en-US"/>
        </w:rPr>
        <w:fldChar w:fldCharType="separate"/>
      </w:r>
      <w:r w:rsidRPr="00391786">
        <w:rPr>
          <w:noProof/>
          <w:lang w:val="en-US"/>
        </w:rPr>
        <w:t xml:space="preserve">Martensson et al. </w:t>
      </w:r>
      <w:r>
        <w:rPr>
          <w:noProof/>
          <w:lang w:val="en-US"/>
        </w:rPr>
        <w:t>(</w:t>
      </w:r>
      <w:r w:rsidRPr="00391786">
        <w:rPr>
          <w:noProof/>
          <w:lang w:val="en-US"/>
        </w:rPr>
        <w:t>2003)</w:t>
      </w:r>
      <w:r>
        <w:rPr>
          <w:lang w:val="en-US"/>
        </w:rPr>
        <w:fldChar w:fldCharType="end"/>
      </w:r>
      <w:r>
        <w:rPr>
          <w:lang w:val="en-US"/>
        </w:rPr>
        <w:t xml:space="preserve"> </w:t>
      </w:r>
      <w:proofErr w:type="gramStart"/>
      <w:r w:rsidR="0080777D">
        <w:rPr>
          <w:lang w:val="en-US"/>
        </w:rPr>
        <w:t>showed,</w:t>
      </w:r>
      <w:proofErr w:type="gramEnd"/>
      <w:r w:rsidR="0080777D">
        <w:rPr>
          <w:lang w:val="en-US"/>
        </w:rPr>
        <w:t xml:space="preserve"> a linear </w:t>
      </w:r>
      <w:r w:rsidR="00466087">
        <w:rPr>
          <w:lang w:val="en-US"/>
        </w:rPr>
        <w:t>downscaling of the emitted mass</w:t>
      </w:r>
      <w:r>
        <w:rPr>
          <w:lang w:val="en-US"/>
        </w:rPr>
        <w:t>, surface and number</w:t>
      </w:r>
      <w:r w:rsidR="00466087">
        <w:rPr>
          <w:lang w:val="en-US"/>
        </w:rPr>
        <w:t xml:space="preserve"> </w:t>
      </w:r>
      <w:r w:rsidR="0080777D">
        <w:rPr>
          <w:lang w:val="en-US"/>
        </w:rPr>
        <w:t>is not appropriate</w:t>
      </w:r>
      <w:r w:rsidR="00466087">
        <w:rPr>
          <w:lang w:val="en-US"/>
        </w:rPr>
        <w:t xml:space="preserve"> for the whole size range</w:t>
      </w:r>
      <w:r w:rsidR="0080777D">
        <w:rPr>
          <w:lang w:val="en-US"/>
        </w:rPr>
        <w:t>. However, this linear scaling is the simplest way to add salinity dependence to CMAQ’s sea salt emissions without modifying program code.</w:t>
      </w:r>
    </w:p>
    <w:p w14:paraId="3C03FC32" w14:textId="77777777" w:rsidR="00E701B4" w:rsidRDefault="001B6F54" w:rsidP="004B2EC6">
      <w:pPr>
        <w:jc w:val="both"/>
        <w:rPr>
          <w:lang w:val="en-US"/>
        </w:rPr>
      </w:pPr>
      <w:r>
        <w:rPr>
          <w:lang w:val="en-US"/>
        </w:rPr>
        <w:t xml:space="preserve">The base case Ocean File was created according to this description. </w:t>
      </w:r>
      <w:r w:rsidR="00E701B4">
        <w:rPr>
          <w:lang w:val="en-US"/>
        </w:rPr>
        <w:t xml:space="preserve">The last step was not performed for the full case Ocean File. For the </w:t>
      </w:r>
      <w:proofErr w:type="spellStart"/>
      <w:r w:rsidR="00E701B4">
        <w:rPr>
          <w:lang w:val="en-US"/>
        </w:rPr>
        <w:t>noSurf</w:t>
      </w:r>
      <w:proofErr w:type="spellEnd"/>
      <w:r w:rsidR="00E701B4">
        <w:rPr>
          <w:lang w:val="en-US"/>
        </w:rPr>
        <w:t xml:space="preserve"> case Ocean File, SURF was added to OPEN and set to 0 afterwards.</w:t>
      </w:r>
    </w:p>
    <w:p w14:paraId="7FEEEB7E" w14:textId="77777777" w:rsidR="009C5763" w:rsidRDefault="00BC3976" w:rsidP="004B2EC6">
      <w:pPr>
        <w:jc w:val="both"/>
        <w:rPr>
          <w:lang w:val="en-US"/>
        </w:rPr>
      </w:pPr>
      <w:r>
        <w:rPr>
          <w:lang w:val="en-US"/>
        </w:rPr>
        <w:fldChar w:fldCharType="begin"/>
      </w:r>
      <w:r>
        <w:rPr>
          <w:lang w:val="en-US"/>
        </w:rPr>
        <w:instrText xml:space="preserve"> REF _Ref439852959 \h </w:instrText>
      </w:r>
      <w:r>
        <w:rPr>
          <w:lang w:val="en-US"/>
        </w:rPr>
      </w:r>
      <w:r>
        <w:rPr>
          <w:lang w:val="en-US"/>
        </w:rPr>
        <w:fldChar w:fldCharType="separate"/>
      </w:r>
      <w:r>
        <w:t>Figure S</w:t>
      </w:r>
      <w:r>
        <w:rPr>
          <w:noProof/>
        </w:rPr>
        <w:t>4</w:t>
      </w:r>
      <w:r>
        <w:rPr>
          <w:lang w:val="en-US"/>
        </w:rPr>
        <w:fldChar w:fldCharType="end"/>
      </w:r>
      <w:r>
        <w:rPr>
          <w:lang w:val="en-US"/>
        </w:rPr>
        <w:t xml:space="preserve"> (b) shows the sea surface fraction without being scaled by the salinity. It is 100% above most oceanic regions. </w:t>
      </w:r>
      <w:r>
        <w:rPr>
          <w:lang w:val="en-US"/>
        </w:rPr>
        <w:fldChar w:fldCharType="begin"/>
      </w:r>
      <w:r>
        <w:rPr>
          <w:lang w:val="en-US"/>
        </w:rPr>
        <w:instrText xml:space="preserve"> REF _Ref439852959 \h </w:instrText>
      </w:r>
      <w:r>
        <w:rPr>
          <w:lang w:val="en-US"/>
        </w:rPr>
      </w:r>
      <w:r>
        <w:rPr>
          <w:lang w:val="en-US"/>
        </w:rPr>
        <w:fldChar w:fldCharType="separate"/>
      </w:r>
      <w:r>
        <w:t>Figure S</w:t>
      </w:r>
      <w:r>
        <w:rPr>
          <w:noProof/>
        </w:rPr>
        <w:t>4</w:t>
      </w:r>
      <w:r>
        <w:rPr>
          <w:lang w:val="en-US"/>
        </w:rPr>
        <w:fldChar w:fldCharType="end"/>
      </w:r>
      <w:r>
        <w:rPr>
          <w:lang w:val="en-US"/>
        </w:rPr>
        <w:t xml:space="preserve"> (b), in contrast, shows the Ocean file’s sea surface fraction after scaling the actual fraction by </w:t>
      </w:r>
      <w:r w:rsidRPr="00BC3976">
        <w:rPr>
          <w:i/>
          <w:lang w:val="en-US"/>
        </w:rPr>
        <w:t>S</w:t>
      </w:r>
      <w:r w:rsidR="00C03E33">
        <w:rPr>
          <w:lang w:val="en-US"/>
        </w:rPr>
        <w:t>/</w:t>
      </w:r>
      <w:r>
        <w:rPr>
          <w:lang w:val="en-US"/>
        </w:rPr>
        <w:t>35</w:t>
      </w:r>
      <w:r w:rsidR="00C03E33">
        <w:rPr>
          <w:lang w:val="en-US"/>
        </w:rPr>
        <w:t>‰</w:t>
      </w:r>
      <w:r>
        <w:rPr>
          <w:lang w:val="en-US"/>
        </w:rPr>
        <w:t>.</w:t>
      </w:r>
      <w:r w:rsidR="00C03E33">
        <w:rPr>
          <w:lang w:val="en-US"/>
        </w:rPr>
        <w:t xml:space="preserve"> The red color indicates grid cells with a sea surface fraction above 100% (slightly). This is because the modeled salinity was slightly above 35‰ in the North Sea. The red area in the Atlantic Ocean is an extrapolation artifact.</w:t>
      </w:r>
    </w:p>
    <w:p w14:paraId="0BCD3F1B" w14:textId="77777777" w:rsidR="00BC3976" w:rsidRDefault="009C5763" w:rsidP="00BC3976">
      <w:pPr>
        <w:keepNext/>
        <w:jc w:val="both"/>
      </w:pPr>
      <w:r>
        <w:rPr>
          <w:noProof/>
          <w:lang w:val="en-US"/>
        </w:rPr>
        <w:drawing>
          <wp:inline distT="0" distB="0" distL="0" distR="0" wp14:anchorId="641D5DCF" wp14:editId="55A4BBF8">
            <wp:extent cx="4996800" cy="191520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S02_salScalin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96800" cy="1915200"/>
                    </a:xfrm>
                    <a:prstGeom prst="rect">
                      <a:avLst/>
                    </a:prstGeom>
                  </pic:spPr>
                </pic:pic>
              </a:graphicData>
            </a:graphic>
          </wp:inline>
        </w:drawing>
      </w:r>
    </w:p>
    <w:p w14:paraId="5BFAABE0" w14:textId="77777777" w:rsidR="009C5763" w:rsidRDefault="00BC3976" w:rsidP="00BC3976">
      <w:pPr>
        <w:pStyle w:val="Caption"/>
        <w:rPr>
          <w:lang w:val="en-US"/>
        </w:rPr>
      </w:pPr>
      <w:bookmarkStart w:id="7" w:name="_Ref439852959"/>
      <w:r>
        <w:t>Figure S</w:t>
      </w:r>
      <w:fldSimple w:instr=" SEQ Figure \* ARABIC ">
        <w:r w:rsidR="00E23BEC">
          <w:rPr>
            <w:noProof/>
          </w:rPr>
          <w:t>4</w:t>
        </w:r>
      </w:fldSimple>
      <w:bookmarkEnd w:id="7"/>
      <w:r>
        <w:t>: Sea surface fraction (OPEN + SURF)</w:t>
      </w:r>
      <w:r>
        <w:rPr>
          <w:noProof/>
        </w:rPr>
        <w:t xml:space="preserve"> in % per grid cell as defined in this study’s Ocean files. (a) Sea surface fraction is scaled by the salinity of the underlying ocean. (b) The original sea surface fraction without salinity scaling.</w:t>
      </w:r>
    </w:p>
    <w:p w14:paraId="3AA08BA3" w14:textId="77777777" w:rsidR="009C5763" w:rsidRDefault="009C5763" w:rsidP="004B2EC6">
      <w:pPr>
        <w:jc w:val="both"/>
        <w:rPr>
          <w:lang w:val="en-US"/>
        </w:rPr>
      </w:pPr>
    </w:p>
    <w:p w14:paraId="3C19CF32" w14:textId="77777777" w:rsidR="00A41582" w:rsidRPr="009F6D63" w:rsidRDefault="00AC494B" w:rsidP="009F6D63">
      <w:pPr>
        <w:pStyle w:val="Heading1"/>
      </w:pPr>
      <w:bookmarkStart w:id="8" w:name="_Toc440538742"/>
      <w:r w:rsidRPr="009F6D63">
        <w:t>Software for Data Evaluation</w:t>
      </w:r>
      <w:bookmarkEnd w:id="8"/>
    </w:p>
    <w:p w14:paraId="452E88FB" w14:textId="77777777" w:rsidR="00AC494B" w:rsidRDefault="00A94848" w:rsidP="00A94848">
      <w:pPr>
        <w:jc w:val="both"/>
      </w:pPr>
      <w:r>
        <w:t>Data post-processing was performed with Climate Data Operators (</w:t>
      </w:r>
      <w:proofErr w:type="spellStart"/>
      <w:r w:rsidR="00AC494B">
        <w:t>cdo</w:t>
      </w:r>
      <w:proofErr w:type="spellEnd"/>
      <w:r>
        <w:t>) versions 1.5.3 and 1.6.9</w:t>
      </w:r>
      <w:r w:rsidR="00AC494B">
        <w:t xml:space="preserve"> and </w:t>
      </w:r>
      <w:r>
        <w:t xml:space="preserve">with </w:t>
      </w:r>
      <w:proofErr w:type="spellStart"/>
      <w:r>
        <w:t>NetCDF</w:t>
      </w:r>
      <w:proofErr w:type="spellEnd"/>
      <w:r>
        <w:t xml:space="preserve"> Operators (NCO)</w:t>
      </w:r>
      <w:r w:rsidR="00AC494B">
        <w:t xml:space="preserve"> </w:t>
      </w:r>
      <w:r>
        <w:t xml:space="preserve">versions 4.0.8, </w:t>
      </w:r>
      <w:r w:rsidR="00257B4D">
        <w:t>4.0.9</w:t>
      </w:r>
      <w:r>
        <w:t>,</w:t>
      </w:r>
      <w:r w:rsidR="00AC494B">
        <w:t xml:space="preserve"> </w:t>
      </w:r>
      <w:r>
        <w:t>and</w:t>
      </w:r>
      <w:r w:rsidR="00AC494B">
        <w:t xml:space="preserve"> </w:t>
      </w:r>
      <w:r w:rsidR="00257B4D">
        <w:t>4.4.8</w:t>
      </w:r>
      <w:r>
        <w:t xml:space="preserve">. Major plotting work and statistical evaluation were performed with R versions 2.15.1 and 3.1.2 using the packages ncdf4, maps, </w:t>
      </w:r>
      <w:proofErr w:type="spellStart"/>
      <w:r>
        <w:t>mapdata</w:t>
      </w:r>
      <w:proofErr w:type="spellEnd"/>
      <w:r>
        <w:t xml:space="preserve">, </w:t>
      </w:r>
      <w:proofErr w:type="spellStart"/>
      <w:r>
        <w:t>cmaqtools</w:t>
      </w:r>
      <w:proofErr w:type="spellEnd"/>
      <w:r>
        <w:t xml:space="preserve"> and </w:t>
      </w:r>
      <w:proofErr w:type="spellStart"/>
      <w:r>
        <w:t>ctmeval</w:t>
      </w:r>
      <w:proofErr w:type="spellEnd"/>
      <w:r>
        <w:t xml:space="preserve">. The latter two packages are </w:t>
      </w:r>
      <w:proofErr w:type="spellStart"/>
      <w:r w:rsidR="00BA0561">
        <w:t>inh</w:t>
      </w:r>
      <w:proofErr w:type="spellEnd"/>
      <w:r w:rsidR="00BA0561">
        <w:t>-house developments of our research institute</w:t>
      </w:r>
      <w:r>
        <w:t>. Figures 1 and 2 were created with Generic Mapping Tools (</w:t>
      </w:r>
      <w:r w:rsidR="00AC494B">
        <w:t>GMT</w:t>
      </w:r>
      <w:r>
        <w:t>)</w:t>
      </w:r>
      <w:r w:rsidR="00AC494B">
        <w:t xml:space="preserve"> version </w:t>
      </w:r>
      <w:r w:rsidR="00257B4D">
        <w:t>4.5.2</w:t>
      </w:r>
      <w:r>
        <w:t>.</w:t>
      </w:r>
    </w:p>
    <w:p w14:paraId="2549DA87" w14:textId="7615682F" w:rsidR="00A94848" w:rsidRDefault="003311EF" w:rsidP="009F6D63">
      <w:pPr>
        <w:pStyle w:val="Heading1"/>
      </w:pPr>
      <w:bookmarkStart w:id="9" w:name="_Toc440538743"/>
      <w:r>
        <w:t xml:space="preserve">Model </w:t>
      </w:r>
      <w:r w:rsidR="0015609E">
        <w:t xml:space="preserve">Input and Output </w:t>
      </w:r>
      <w:r w:rsidR="00A94848">
        <w:t>Data</w:t>
      </w:r>
      <w:r w:rsidR="00482958">
        <w:t xml:space="preserve"> and statistical Evaluation</w:t>
      </w:r>
      <w:bookmarkEnd w:id="9"/>
    </w:p>
    <w:p w14:paraId="1D51429D" w14:textId="23A2C41F" w:rsidR="003311EF" w:rsidRPr="003311EF" w:rsidRDefault="00BA0561" w:rsidP="00DA3193">
      <w:pPr>
        <w:jc w:val="both"/>
      </w:pPr>
      <w:r>
        <w:t>Those m</w:t>
      </w:r>
      <w:r w:rsidR="003311EF">
        <w:t xml:space="preserve">odel data which forms the base for plots and statistical evaluations are attached in post-processed format which allows the reproduction of all plots and figures. Data are attached as text (*.csv) and </w:t>
      </w:r>
      <w:proofErr w:type="spellStart"/>
      <w:r w:rsidR="003311EF">
        <w:t>netCDF</w:t>
      </w:r>
      <w:proofErr w:type="spellEnd"/>
      <w:r w:rsidR="003311EF">
        <w:t xml:space="preserve"> (*.</w:t>
      </w:r>
      <w:proofErr w:type="spellStart"/>
      <w:r w:rsidR="003311EF">
        <w:t>nc</w:t>
      </w:r>
      <w:proofErr w:type="spellEnd"/>
      <w:r w:rsidR="003311EF">
        <w:t>) files.</w:t>
      </w:r>
      <w:r w:rsidR="0041476D">
        <w:t xml:space="preserve"> Concentration data are located in the subdirectory ‘</w:t>
      </w:r>
      <w:proofErr w:type="spellStart"/>
      <w:r w:rsidR="0041476D">
        <w:t>conc</w:t>
      </w:r>
      <w:proofErr w:type="spellEnd"/>
      <w:r w:rsidR="0041476D">
        <w:t>’, sea salt emission data in the subdirectory ‘</w:t>
      </w:r>
      <w:proofErr w:type="spellStart"/>
      <w:r w:rsidR="0041476D">
        <w:t>ssemis</w:t>
      </w:r>
      <w:proofErr w:type="spellEnd"/>
      <w:r w:rsidR="0041476D">
        <w:t>’, and nitrogen deposition data in the subdirectory ‘</w:t>
      </w:r>
      <w:proofErr w:type="spellStart"/>
      <w:r w:rsidR="0041476D">
        <w:t>ndep</w:t>
      </w:r>
      <w:proofErr w:type="spellEnd"/>
      <w:r w:rsidR="0041476D">
        <w:t>’.</w:t>
      </w:r>
    </w:p>
    <w:p w14:paraId="51754525" w14:textId="77777777" w:rsidR="00457C35" w:rsidRPr="00457C35" w:rsidRDefault="00457C35" w:rsidP="00457C35">
      <w:pPr>
        <w:pStyle w:val="Caption"/>
        <w:keepNext/>
        <w:rPr>
          <w:b/>
        </w:rPr>
      </w:pPr>
      <w:r w:rsidRPr="00457C35">
        <w:lastRenderedPageBreak/>
        <w:t xml:space="preserve">Table </w:t>
      </w:r>
      <w:r w:rsidR="00CD4B47">
        <w:t>S</w:t>
      </w:r>
      <w:fldSimple w:instr=" SEQ Table \* ARABIC ">
        <w:r w:rsidR="00CD4B47">
          <w:rPr>
            <w:noProof/>
          </w:rPr>
          <w:t>1</w:t>
        </w:r>
      </w:fldSimple>
      <w:r w:rsidRPr="00457C35">
        <w:t xml:space="preserve">: List of attached files containing model </w:t>
      </w:r>
      <w:r w:rsidR="0015609E">
        <w:t xml:space="preserve">output </w:t>
      </w:r>
      <w:r w:rsidRPr="00457C35">
        <w:t>data.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3261"/>
        <w:gridCol w:w="2835"/>
        <w:gridCol w:w="1950"/>
      </w:tblGrid>
      <w:tr w:rsidR="00BA0561" w:rsidRPr="00DA3193" w14:paraId="1625CB84" w14:textId="77777777" w:rsidTr="000F4914">
        <w:tc>
          <w:tcPr>
            <w:tcW w:w="1242" w:type="dxa"/>
            <w:tcBorders>
              <w:top w:val="single" w:sz="4" w:space="0" w:color="auto"/>
              <w:bottom w:val="single" w:sz="4" w:space="0" w:color="auto"/>
            </w:tcBorders>
          </w:tcPr>
          <w:p w14:paraId="1AEA7A8E" w14:textId="77777777" w:rsidR="00BA0561" w:rsidRPr="00DA3193" w:rsidRDefault="00BA0561" w:rsidP="00DA3193">
            <w:pPr>
              <w:spacing w:before="80"/>
              <w:rPr>
                <w:b/>
              </w:rPr>
            </w:pPr>
            <w:r w:rsidRPr="00DA3193">
              <w:rPr>
                <w:b/>
              </w:rPr>
              <w:t>Type</w:t>
            </w:r>
          </w:p>
        </w:tc>
        <w:tc>
          <w:tcPr>
            <w:tcW w:w="3261" w:type="dxa"/>
            <w:tcBorders>
              <w:top w:val="single" w:sz="4" w:space="0" w:color="auto"/>
              <w:bottom w:val="single" w:sz="4" w:space="0" w:color="auto"/>
            </w:tcBorders>
          </w:tcPr>
          <w:p w14:paraId="306C5275" w14:textId="77777777" w:rsidR="00BA0561" w:rsidRPr="00DA3193" w:rsidRDefault="00BA0561" w:rsidP="00DA3193">
            <w:pPr>
              <w:spacing w:before="80"/>
              <w:rPr>
                <w:b/>
              </w:rPr>
            </w:pPr>
            <w:r w:rsidRPr="00DA3193">
              <w:rPr>
                <w:b/>
              </w:rPr>
              <w:t>Comment</w:t>
            </w:r>
          </w:p>
        </w:tc>
        <w:tc>
          <w:tcPr>
            <w:tcW w:w="2835" w:type="dxa"/>
            <w:tcBorders>
              <w:top w:val="single" w:sz="4" w:space="0" w:color="auto"/>
              <w:bottom w:val="single" w:sz="4" w:space="0" w:color="auto"/>
            </w:tcBorders>
          </w:tcPr>
          <w:p w14:paraId="46A4272C" w14:textId="77777777" w:rsidR="00BA0561" w:rsidRPr="00DA3193" w:rsidRDefault="00BA0561" w:rsidP="00DA3193">
            <w:pPr>
              <w:spacing w:before="80"/>
              <w:rPr>
                <w:b/>
              </w:rPr>
            </w:pPr>
            <w:r>
              <w:rPr>
                <w:b/>
              </w:rPr>
              <w:t>Files</w:t>
            </w:r>
          </w:p>
        </w:tc>
        <w:tc>
          <w:tcPr>
            <w:tcW w:w="1950" w:type="dxa"/>
            <w:tcBorders>
              <w:top w:val="single" w:sz="4" w:space="0" w:color="auto"/>
              <w:bottom w:val="single" w:sz="4" w:space="0" w:color="auto"/>
            </w:tcBorders>
          </w:tcPr>
          <w:p w14:paraId="227FA691" w14:textId="77777777" w:rsidR="00BA0561" w:rsidRDefault="00576A78" w:rsidP="00DA3193">
            <w:pPr>
              <w:spacing w:before="80"/>
              <w:rPr>
                <w:b/>
              </w:rPr>
            </w:pPr>
            <w:proofErr w:type="spellStart"/>
            <w:r>
              <w:rPr>
                <w:b/>
              </w:rPr>
              <w:t>Corresp</w:t>
            </w:r>
            <w:proofErr w:type="spellEnd"/>
            <w:r>
              <w:rPr>
                <w:b/>
              </w:rPr>
              <w:t>. Fig.</w:t>
            </w:r>
          </w:p>
        </w:tc>
      </w:tr>
      <w:tr w:rsidR="00BA0561" w:rsidRPr="003311EF" w14:paraId="6242F7CB" w14:textId="77777777" w:rsidTr="000F4914">
        <w:tc>
          <w:tcPr>
            <w:tcW w:w="1242" w:type="dxa"/>
            <w:tcBorders>
              <w:top w:val="single" w:sz="4" w:space="0" w:color="auto"/>
            </w:tcBorders>
          </w:tcPr>
          <w:p w14:paraId="42FD3B54" w14:textId="77777777" w:rsidR="00BA0561" w:rsidRPr="003311EF" w:rsidRDefault="00BA0561" w:rsidP="001B6F54">
            <w:pPr>
              <w:spacing w:before="60" w:after="60"/>
              <w:rPr>
                <w:sz w:val="20"/>
              </w:rPr>
            </w:pPr>
            <w:r w:rsidRPr="003311EF">
              <w:rPr>
                <w:sz w:val="20"/>
              </w:rPr>
              <w:t>Sea Salt Emissions</w:t>
            </w:r>
          </w:p>
        </w:tc>
        <w:tc>
          <w:tcPr>
            <w:tcW w:w="3261" w:type="dxa"/>
            <w:tcBorders>
              <w:top w:val="single" w:sz="4" w:space="0" w:color="auto"/>
            </w:tcBorders>
          </w:tcPr>
          <w:p w14:paraId="07D9DE16" w14:textId="77777777" w:rsidR="00BA0561" w:rsidRPr="003311EF" w:rsidRDefault="00BA0561" w:rsidP="001B6F54">
            <w:pPr>
              <w:spacing w:before="60" w:after="60"/>
              <w:rPr>
                <w:sz w:val="20"/>
              </w:rPr>
            </w:pPr>
            <w:r w:rsidRPr="003311EF">
              <w:rPr>
                <w:sz w:val="20"/>
              </w:rPr>
              <w:t xml:space="preserve">averaged in time; resolved in space; one season (summer | winter) and one case (base | </w:t>
            </w:r>
            <w:proofErr w:type="spellStart"/>
            <w:r w:rsidRPr="003311EF">
              <w:rPr>
                <w:sz w:val="20"/>
              </w:rPr>
              <w:t>noSurf</w:t>
            </w:r>
            <w:proofErr w:type="spellEnd"/>
            <w:r w:rsidRPr="003311EF">
              <w:rPr>
                <w:sz w:val="20"/>
              </w:rPr>
              <w:t>) per file;</w:t>
            </w:r>
          </w:p>
        </w:tc>
        <w:tc>
          <w:tcPr>
            <w:tcW w:w="2835" w:type="dxa"/>
            <w:tcBorders>
              <w:top w:val="single" w:sz="4" w:space="0" w:color="auto"/>
            </w:tcBorders>
          </w:tcPr>
          <w:p w14:paraId="4C2999EE" w14:textId="77777777" w:rsidR="00BA0561" w:rsidRDefault="00BA0561" w:rsidP="001B6F54">
            <w:pPr>
              <w:spacing w:before="60" w:after="60"/>
              <w:rPr>
                <w:sz w:val="20"/>
              </w:rPr>
            </w:pPr>
            <w:r w:rsidRPr="003311EF">
              <w:rPr>
                <w:sz w:val="20"/>
              </w:rPr>
              <w:t>ssemis.area.timemean.</w:t>
            </w:r>
            <w:r>
              <w:rPr>
                <w:sz w:val="20"/>
              </w:rPr>
              <w:t>*</w:t>
            </w:r>
            <w:r w:rsidRPr="003311EF">
              <w:rPr>
                <w:sz w:val="20"/>
              </w:rPr>
              <w:t>.nc</w:t>
            </w:r>
          </w:p>
          <w:p w14:paraId="7303122E" w14:textId="7BF5A8F9" w:rsidR="00BA0561" w:rsidRPr="003311EF" w:rsidRDefault="00BA0561" w:rsidP="001B6F54">
            <w:pPr>
              <w:spacing w:before="60" w:after="60"/>
              <w:rPr>
                <w:sz w:val="20"/>
              </w:rPr>
            </w:pPr>
            <w:r>
              <w:rPr>
                <w:sz w:val="20"/>
              </w:rPr>
              <w:t>(four files)</w:t>
            </w:r>
            <w:r w:rsidR="00297FC9">
              <w:rPr>
                <w:sz w:val="20"/>
              </w:rPr>
              <w:t xml:space="preserve"> </w:t>
            </w:r>
            <w:r w:rsidR="00297FC9" w:rsidRPr="00297FC9">
              <w:rPr>
                <w:sz w:val="20"/>
                <w:vertAlign w:val="superscript"/>
              </w:rPr>
              <w:t>1</w:t>
            </w:r>
          </w:p>
        </w:tc>
        <w:tc>
          <w:tcPr>
            <w:tcW w:w="1950" w:type="dxa"/>
            <w:tcBorders>
              <w:top w:val="single" w:sz="4" w:space="0" w:color="auto"/>
            </w:tcBorders>
          </w:tcPr>
          <w:p w14:paraId="57DD5CEE" w14:textId="77777777" w:rsidR="00BA0561" w:rsidRPr="003311EF" w:rsidRDefault="00576A78" w:rsidP="00576A78">
            <w:pPr>
              <w:spacing w:before="60" w:after="60"/>
              <w:rPr>
                <w:sz w:val="20"/>
              </w:rPr>
            </w:pPr>
            <w:r>
              <w:rPr>
                <w:sz w:val="20"/>
              </w:rPr>
              <w:t>3 (sum of ANAJ, ANAK, ACLJ, ACLK, ASO4J and ASO4K plotted)</w:t>
            </w:r>
          </w:p>
        </w:tc>
      </w:tr>
      <w:tr w:rsidR="00BA0561" w:rsidRPr="003311EF" w14:paraId="6FB73636" w14:textId="77777777" w:rsidTr="000F4914">
        <w:tc>
          <w:tcPr>
            <w:tcW w:w="1242" w:type="dxa"/>
          </w:tcPr>
          <w:p w14:paraId="3E28FEB6" w14:textId="77777777" w:rsidR="00BA0561" w:rsidRPr="003311EF" w:rsidRDefault="00BA0561" w:rsidP="001B6F54">
            <w:pPr>
              <w:spacing w:before="60" w:after="60"/>
              <w:rPr>
                <w:sz w:val="20"/>
              </w:rPr>
            </w:pPr>
            <w:r w:rsidRPr="003311EF">
              <w:rPr>
                <w:sz w:val="20"/>
              </w:rPr>
              <w:t>Sea Salt Emissions</w:t>
            </w:r>
          </w:p>
        </w:tc>
        <w:tc>
          <w:tcPr>
            <w:tcW w:w="3261" w:type="dxa"/>
          </w:tcPr>
          <w:p w14:paraId="45C06F66" w14:textId="77777777" w:rsidR="00BA0561" w:rsidRPr="003311EF" w:rsidRDefault="00BA0561" w:rsidP="001B6F54">
            <w:pPr>
              <w:spacing w:before="60" w:after="60"/>
              <w:rPr>
                <w:sz w:val="20"/>
              </w:rPr>
            </w:pPr>
            <w:r w:rsidRPr="003311EF">
              <w:rPr>
                <w:sz w:val="20"/>
              </w:rPr>
              <w:t>hourly resolved in time; one location (</w:t>
            </w:r>
            <w:r>
              <w:rPr>
                <w:sz w:val="20"/>
              </w:rPr>
              <w:t>A |</w:t>
            </w:r>
            <w:r w:rsidRPr="003311EF">
              <w:rPr>
                <w:sz w:val="20"/>
              </w:rPr>
              <w:t xml:space="preserve"> B </w:t>
            </w:r>
            <w:r>
              <w:rPr>
                <w:sz w:val="20"/>
              </w:rPr>
              <w:t>|</w:t>
            </w:r>
            <w:r w:rsidRPr="003311EF">
              <w:rPr>
                <w:sz w:val="20"/>
              </w:rPr>
              <w:t xml:space="preserve"> C), one season (summer | winter) and one case (base | </w:t>
            </w:r>
            <w:proofErr w:type="spellStart"/>
            <w:r w:rsidRPr="003311EF">
              <w:rPr>
                <w:sz w:val="20"/>
              </w:rPr>
              <w:t>noSurf</w:t>
            </w:r>
            <w:proofErr w:type="spellEnd"/>
            <w:r w:rsidRPr="003311EF">
              <w:rPr>
                <w:sz w:val="20"/>
              </w:rPr>
              <w:t>) per file;</w:t>
            </w:r>
          </w:p>
        </w:tc>
        <w:tc>
          <w:tcPr>
            <w:tcW w:w="2835" w:type="dxa"/>
          </w:tcPr>
          <w:p w14:paraId="027E6963" w14:textId="77777777" w:rsidR="00BA0561" w:rsidRDefault="00BA0561" w:rsidP="001B6F54">
            <w:pPr>
              <w:spacing w:before="60" w:after="60"/>
              <w:rPr>
                <w:sz w:val="20"/>
              </w:rPr>
            </w:pPr>
            <w:r w:rsidRPr="003311EF">
              <w:rPr>
                <w:sz w:val="20"/>
              </w:rPr>
              <w:t>ssemis.timeseries.</w:t>
            </w:r>
            <w:r>
              <w:rPr>
                <w:sz w:val="20"/>
              </w:rPr>
              <w:t>*.csv</w:t>
            </w:r>
          </w:p>
          <w:p w14:paraId="469D9976" w14:textId="77777777" w:rsidR="00BA0561" w:rsidRPr="003311EF" w:rsidRDefault="00BA0561" w:rsidP="001B6F54">
            <w:pPr>
              <w:spacing w:before="60" w:after="60"/>
              <w:rPr>
                <w:sz w:val="20"/>
              </w:rPr>
            </w:pPr>
            <w:r>
              <w:rPr>
                <w:sz w:val="20"/>
              </w:rPr>
              <w:t>(12 files)</w:t>
            </w:r>
          </w:p>
        </w:tc>
        <w:tc>
          <w:tcPr>
            <w:tcW w:w="1950" w:type="dxa"/>
          </w:tcPr>
          <w:p w14:paraId="27151AF0" w14:textId="77777777" w:rsidR="00BA0561" w:rsidRPr="003311EF" w:rsidRDefault="00576A78" w:rsidP="00576A78">
            <w:pPr>
              <w:spacing w:before="60" w:after="60"/>
              <w:rPr>
                <w:sz w:val="20"/>
              </w:rPr>
            </w:pPr>
            <w:r>
              <w:rPr>
                <w:sz w:val="20"/>
              </w:rPr>
              <w:t>4 (MASST plotted)</w:t>
            </w:r>
          </w:p>
        </w:tc>
      </w:tr>
      <w:tr w:rsidR="00BA0561" w:rsidRPr="003311EF" w14:paraId="3195C0E3" w14:textId="77777777" w:rsidTr="003514A7">
        <w:tc>
          <w:tcPr>
            <w:tcW w:w="1242" w:type="dxa"/>
          </w:tcPr>
          <w:p w14:paraId="62A7AB54" w14:textId="77777777" w:rsidR="00BA0561" w:rsidRPr="003311EF" w:rsidRDefault="00BA0561" w:rsidP="00BA0561">
            <w:pPr>
              <w:spacing w:before="60" w:after="60"/>
              <w:rPr>
                <w:sz w:val="20"/>
              </w:rPr>
            </w:pPr>
            <w:proofErr w:type="spellStart"/>
            <w:r>
              <w:rPr>
                <w:sz w:val="20"/>
              </w:rPr>
              <w:t>Concen</w:t>
            </w:r>
            <w:r w:rsidR="000F4914">
              <w:rPr>
                <w:sz w:val="20"/>
              </w:rPr>
              <w:t>-</w:t>
            </w:r>
            <w:r>
              <w:rPr>
                <w:sz w:val="20"/>
              </w:rPr>
              <w:t>trations</w:t>
            </w:r>
            <w:proofErr w:type="spellEnd"/>
          </w:p>
        </w:tc>
        <w:tc>
          <w:tcPr>
            <w:tcW w:w="3261" w:type="dxa"/>
          </w:tcPr>
          <w:p w14:paraId="55649D24" w14:textId="77777777" w:rsidR="00BA0561" w:rsidRPr="003311EF" w:rsidRDefault="00BA0561" w:rsidP="00BA0561">
            <w:pPr>
              <w:spacing w:before="60" w:after="60"/>
              <w:rPr>
                <w:sz w:val="20"/>
              </w:rPr>
            </w:pPr>
            <w:r>
              <w:rPr>
                <w:sz w:val="20"/>
              </w:rPr>
              <w:t>hourly resolved in time; data on each station (see Table in section D); one species (</w:t>
            </w:r>
            <w:r w:rsidRPr="00BA0561">
              <w:rPr>
                <w:sz w:val="20"/>
              </w:rPr>
              <w:t>Na</w:t>
            </w:r>
            <w:r w:rsidRPr="00BA0561">
              <w:rPr>
                <w:sz w:val="20"/>
                <w:vertAlign w:val="superscript"/>
              </w:rPr>
              <w:t>+</w:t>
            </w:r>
            <w:r>
              <w:rPr>
                <w:sz w:val="20"/>
              </w:rPr>
              <w:t xml:space="preserve"> |</w:t>
            </w:r>
            <w:r w:rsidRPr="00BA0561">
              <w:rPr>
                <w:sz w:val="20"/>
              </w:rPr>
              <w:t xml:space="preserve"> xSO4</w:t>
            </w:r>
            <w:r>
              <w:rPr>
                <w:sz w:val="20"/>
              </w:rPr>
              <w:t xml:space="preserve"> |</w:t>
            </w:r>
            <w:r w:rsidRPr="00BA0561">
              <w:rPr>
                <w:sz w:val="20"/>
              </w:rPr>
              <w:t xml:space="preserve"> sNH4 </w:t>
            </w:r>
            <w:r>
              <w:rPr>
                <w:sz w:val="20"/>
              </w:rPr>
              <w:t>|</w:t>
            </w:r>
            <w:r w:rsidRPr="00BA0561">
              <w:rPr>
                <w:sz w:val="20"/>
              </w:rPr>
              <w:t xml:space="preserve"> sNO3</w:t>
            </w:r>
            <w:r>
              <w:rPr>
                <w:sz w:val="20"/>
              </w:rPr>
              <w:t xml:space="preserve">), one season (summer | winter) and one case (base | </w:t>
            </w:r>
            <w:proofErr w:type="spellStart"/>
            <w:r>
              <w:rPr>
                <w:sz w:val="20"/>
              </w:rPr>
              <w:t>noSurf</w:t>
            </w:r>
            <w:proofErr w:type="spellEnd"/>
            <w:r>
              <w:rPr>
                <w:sz w:val="20"/>
              </w:rPr>
              <w:t xml:space="preserve"> | full | zero) per file</w:t>
            </w:r>
          </w:p>
        </w:tc>
        <w:tc>
          <w:tcPr>
            <w:tcW w:w="2835" w:type="dxa"/>
          </w:tcPr>
          <w:p w14:paraId="0FED4FF0" w14:textId="77777777" w:rsidR="00BA0561" w:rsidRDefault="00BA0561" w:rsidP="001B6F54">
            <w:pPr>
              <w:spacing w:before="60" w:after="60"/>
              <w:rPr>
                <w:sz w:val="20"/>
              </w:rPr>
            </w:pPr>
            <w:r w:rsidRPr="004C4886">
              <w:rPr>
                <w:sz w:val="20"/>
              </w:rPr>
              <w:t>conc.tim</w:t>
            </w:r>
            <w:r>
              <w:rPr>
                <w:sz w:val="20"/>
              </w:rPr>
              <w:t>eseries.*.csv</w:t>
            </w:r>
          </w:p>
          <w:p w14:paraId="1E206635" w14:textId="77777777" w:rsidR="00BA0561" w:rsidRPr="003311EF" w:rsidRDefault="00BA0561" w:rsidP="001B6F54">
            <w:pPr>
              <w:spacing w:before="60" w:after="60"/>
              <w:rPr>
                <w:sz w:val="20"/>
              </w:rPr>
            </w:pPr>
            <w:r>
              <w:rPr>
                <w:sz w:val="20"/>
              </w:rPr>
              <w:t>(32 files)</w:t>
            </w:r>
          </w:p>
        </w:tc>
        <w:tc>
          <w:tcPr>
            <w:tcW w:w="1950" w:type="dxa"/>
          </w:tcPr>
          <w:p w14:paraId="5BFDC5AF" w14:textId="77777777" w:rsidR="00BA0561" w:rsidRPr="004C4886" w:rsidRDefault="00576A78" w:rsidP="001B6F54">
            <w:pPr>
              <w:spacing w:before="60" w:after="60"/>
              <w:rPr>
                <w:sz w:val="20"/>
              </w:rPr>
            </w:pPr>
            <w:r>
              <w:rPr>
                <w:sz w:val="20"/>
              </w:rPr>
              <w:t>5, 6, 7</w:t>
            </w:r>
            <w:r w:rsidR="0015609E">
              <w:rPr>
                <w:sz w:val="20"/>
              </w:rPr>
              <w:t>,</w:t>
            </w:r>
            <w:r>
              <w:rPr>
                <w:sz w:val="20"/>
              </w:rPr>
              <w:t xml:space="preserve"> and 8</w:t>
            </w:r>
          </w:p>
        </w:tc>
      </w:tr>
      <w:tr w:rsidR="002D0E34" w:rsidRPr="003311EF" w14:paraId="470C76FB" w14:textId="77777777" w:rsidTr="003514A7">
        <w:tc>
          <w:tcPr>
            <w:tcW w:w="1242" w:type="dxa"/>
          </w:tcPr>
          <w:p w14:paraId="7D47885E" w14:textId="443D5E17" w:rsidR="002D0E34" w:rsidRDefault="002D0E34" w:rsidP="00BA0561">
            <w:pPr>
              <w:spacing w:before="60" w:after="60"/>
              <w:rPr>
                <w:sz w:val="20"/>
              </w:rPr>
            </w:pPr>
            <w:r>
              <w:rPr>
                <w:sz w:val="20"/>
              </w:rPr>
              <w:t>Nitrogen Wet Deposition</w:t>
            </w:r>
          </w:p>
        </w:tc>
        <w:tc>
          <w:tcPr>
            <w:tcW w:w="3261" w:type="dxa"/>
          </w:tcPr>
          <w:p w14:paraId="3C4781F3" w14:textId="708B4610" w:rsidR="002D0E34" w:rsidRDefault="00562AC0" w:rsidP="00EF2CE8">
            <w:pPr>
              <w:spacing w:before="60" w:after="60"/>
              <w:rPr>
                <w:sz w:val="20"/>
              </w:rPr>
            </w:pPr>
            <w:r>
              <w:rPr>
                <w:sz w:val="20"/>
              </w:rPr>
              <w:t xml:space="preserve">Nitrogen </w:t>
            </w:r>
            <w:r w:rsidR="00297FC9">
              <w:rPr>
                <w:sz w:val="20"/>
              </w:rPr>
              <w:t>wet deposition averaged over the time intervals for which measurement data are available; one cas</w:t>
            </w:r>
            <w:r w:rsidR="0017026E">
              <w:rPr>
                <w:sz w:val="20"/>
              </w:rPr>
              <w:t xml:space="preserve">e (base | </w:t>
            </w:r>
            <w:proofErr w:type="spellStart"/>
            <w:r w:rsidR="0017026E">
              <w:rPr>
                <w:sz w:val="20"/>
              </w:rPr>
              <w:t>noSurf</w:t>
            </w:r>
            <w:proofErr w:type="spellEnd"/>
            <w:r w:rsidR="0017026E">
              <w:rPr>
                <w:sz w:val="20"/>
              </w:rPr>
              <w:t xml:space="preserve"> | full | zero)</w:t>
            </w:r>
            <w:r w:rsidR="00297FC9">
              <w:rPr>
                <w:sz w:val="20"/>
              </w:rPr>
              <w:t xml:space="preserve"> and one station per file</w:t>
            </w:r>
          </w:p>
        </w:tc>
        <w:tc>
          <w:tcPr>
            <w:tcW w:w="2835" w:type="dxa"/>
          </w:tcPr>
          <w:p w14:paraId="1D61F52E" w14:textId="77777777" w:rsidR="0017026E" w:rsidRDefault="002D0E34" w:rsidP="0017026E">
            <w:pPr>
              <w:spacing w:before="60" w:after="60"/>
              <w:rPr>
                <w:sz w:val="20"/>
              </w:rPr>
            </w:pPr>
            <w:r>
              <w:rPr>
                <w:sz w:val="20"/>
              </w:rPr>
              <w:t>wetdep.timeseries.*.csv</w:t>
            </w:r>
          </w:p>
          <w:p w14:paraId="1E510E3D" w14:textId="0CBFA7BF" w:rsidR="002D0E34" w:rsidRPr="004C4886" w:rsidRDefault="0017026E" w:rsidP="0017026E">
            <w:pPr>
              <w:spacing w:before="60" w:after="60"/>
              <w:rPr>
                <w:sz w:val="20"/>
              </w:rPr>
            </w:pPr>
            <w:r>
              <w:rPr>
                <w:sz w:val="20"/>
              </w:rPr>
              <w:t>(56 files)</w:t>
            </w:r>
          </w:p>
        </w:tc>
        <w:tc>
          <w:tcPr>
            <w:tcW w:w="1950" w:type="dxa"/>
          </w:tcPr>
          <w:p w14:paraId="269BEE2A" w14:textId="63DC7D21" w:rsidR="002D0E34" w:rsidRDefault="002D0E34" w:rsidP="001B6F54">
            <w:pPr>
              <w:spacing w:before="60" w:after="60"/>
              <w:rPr>
                <w:sz w:val="20"/>
              </w:rPr>
            </w:pPr>
            <w:r>
              <w:rPr>
                <w:sz w:val="20"/>
              </w:rPr>
              <w:t>10</w:t>
            </w:r>
          </w:p>
        </w:tc>
      </w:tr>
      <w:tr w:rsidR="003514A7" w:rsidRPr="003311EF" w14:paraId="2EE5714B" w14:textId="77777777" w:rsidTr="000F4914">
        <w:tc>
          <w:tcPr>
            <w:tcW w:w="1242" w:type="dxa"/>
            <w:tcBorders>
              <w:bottom w:val="single" w:sz="4" w:space="0" w:color="auto"/>
            </w:tcBorders>
          </w:tcPr>
          <w:p w14:paraId="59159709" w14:textId="77777777" w:rsidR="003514A7" w:rsidRDefault="003514A7" w:rsidP="00BA0561">
            <w:pPr>
              <w:spacing w:before="60" w:after="60"/>
              <w:rPr>
                <w:sz w:val="20"/>
              </w:rPr>
            </w:pPr>
            <w:r>
              <w:rPr>
                <w:sz w:val="20"/>
              </w:rPr>
              <w:t>Nitrogen Deposition</w:t>
            </w:r>
          </w:p>
        </w:tc>
        <w:tc>
          <w:tcPr>
            <w:tcW w:w="3261" w:type="dxa"/>
            <w:tcBorders>
              <w:bottom w:val="single" w:sz="4" w:space="0" w:color="auto"/>
            </w:tcBorders>
          </w:tcPr>
          <w:p w14:paraId="2C50148E" w14:textId="05783B65" w:rsidR="003514A7" w:rsidRDefault="003514A7" w:rsidP="00BA0561">
            <w:pPr>
              <w:spacing w:before="60" w:after="60"/>
              <w:rPr>
                <w:sz w:val="20"/>
              </w:rPr>
            </w:pPr>
            <w:r>
              <w:rPr>
                <w:sz w:val="20"/>
              </w:rPr>
              <w:t>averaged in time; resolved in spaces; one season (summer | winter) and one case (base |</w:t>
            </w:r>
            <w:r w:rsidR="00EF2CE8">
              <w:rPr>
                <w:sz w:val="20"/>
              </w:rPr>
              <w:t xml:space="preserve"> </w:t>
            </w:r>
            <w:proofErr w:type="spellStart"/>
            <w:r w:rsidR="00EF2CE8">
              <w:rPr>
                <w:sz w:val="20"/>
              </w:rPr>
              <w:t>noSurf</w:t>
            </w:r>
            <w:proofErr w:type="spellEnd"/>
            <w:r w:rsidR="00EF2CE8">
              <w:rPr>
                <w:sz w:val="20"/>
              </w:rPr>
              <w:t xml:space="preserve"> | zero | full) per file</w:t>
            </w:r>
          </w:p>
        </w:tc>
        <w:tc>
          <w:tcPr>
            <w:tcW w:w="2835" w:type="dxa"/>
            <w:tcBorders>
              <w:bottom w:val="single" w:sz="4" w:space="0" w:color="auto"/>
            </w:tcBorders>
          </w:tcPr>
          <w:p w14:paraId="17314EB9" w14:textId="77777777" w:rsidR="003514A7" w:rsidRDefault="003514A7" w:rsidP="001B6F54">
            <w:pPr>
              <w:spacing w:before="60" w:after="60"/>
              <w:rPr>
                <w:sz w:val="20"/>
              </w:rPr>
            </w:pPr>
            <w:r>
              <w:rPr>
                <w:sz w:val="20"/>
              </w:rPr>
              <w:t>ndep.area.timemean.*.nc</w:t>
            </w:r>
          </w:p>
          <w:p w14:paraId="59A5DF74" w14:textId="2A04B2AD" w:rsidR="003514A7" w:rsidRPr="004C4886" w:rsidRDefault="003514A7" w:rsidP="00D66B78">
            <w:pPr>
              <w:spacing w:before="60" w:after="60"/>
              <w:rPr>
                <w:sz w:val="20"/>
              </w:rPr>
            </w:pPr>
            <w:r>
              <w:rPr>
                <w:sz w:val="20"/>
              </w:rPr>
              <w:t>(</w:t>
            </w:r>
            <w:r w:rsidR="00D66B78">
              <w:rPr>
                <w:sz w:val="20"/>
              </w:rPr>
              <w:t>8</w:t>
            </w:r>
            <w:r>
              <w:rPr>
                <w:sz w:val="20"/>
              </w:rPr>
              <w:t xml:space="preserve"> files)</w:t>
            </w:r>
            <w:r w:rsidR="00297FC9">
              <w:rPr>
                <w:sz w:val="20"/>
              </w:rPr>
              <w:t xml:space="preserve"> </w:t>
            </w:r>
            <w:r w:rsidR="00297FC9" w:rsidRPr="00297FC9">
              <w:rPr>
                <w:sz w:val="20"/>
                <w:vertAlign w:val="superscript"/>
              </w:rPr>
              <w:t>1</w:t>
            </w:r>
          </w:p>
        </w:tc>
        <w:tc>
          <w:tcPr>
            <w:tcW w:w="1950" w:type="dxa"/>
            <w:tcBorders>
              <w:bottom w:val="single" w:sz="4" w:space="0" w:color="auto"/>
            </w:tcBorders>
          </w:tcPr>
          <w:p w14:paraId="4B7A5396" w14:textId="77777777" w:rsidR="003514A7" w:rsidRDefault="0015609E" w:rsidP="001B6F54">
            <w:pPr>
              <w:spacing w:before="60" w:after="60"/>
              <w:rPr>
                <w:sz w:val="20"/>
              </w:rPr>
            </w:pPr>
            <w:r>
              <w:rPr>
                <w:sz w:val="20"/>
              </w:rPr>
              <w:t>9</w:t>
            </w:r>
          </w:p>
        </w:tc>
      </w:tr>
    </w:tbl>
    <w:p w14:paraId="33380EE2" w14:textId="750AE0BC" w:rsidR="004C4886" w:rsidRDefault="00297FC9" w:rsidP="0017026E">
      <w:pPr>
        <w:jc w:val="both"/>
        <w:rPr>
          <w:sz w:val="18"/>
        </w:rPr>
      </w:pPr>
      <w:r w:rsidRPr="00297FC9">
        <w:rPr>
          <w:sz w:val="18"/>
          <w:vertAlign w:val="superscript"/>
        </w:rPr>
        <w:t>1</w:t>
      </w:r>
      <w:r>
        <w:rPr>
          <w:sz w:val="18"/>
        </w:rPr>
        <w:t xml:space="preserve"> </w:t>
      </w:r>
      <w:r w:rsidR="004C4886" w:rsidRPr="00297FC9">
        <w:rPr>
          <w:sz w:val="18"/>
        </w:rPr>
        <w:t>J</w:t>
      </w:r>
      <w:r w:rsidR="004C4886" w:rsidRPr="001B6F54">
        <w:rPr>
          <w:sz w:val="18"/>
        </w:rPr>
        <w:t xml:space="preserve"> and K in variable names indicate accumulation and coarse mode particle mass/number, respectively. T indicates total mass/number (J + K).</w:t>
      </w:r>
      <w:r w:rsidR="00DA3193" w:rsidRPr="001B6F54">
        <w:rPr>
          <w:sz w:val="18"/>
        </w:rPr>
        <w:t xml:space="preserve"> </w:t>
      </w:r>
      <w:r w:rsidR="00576A78">
        <w:rPr>
          <w:sz w:val="18"/>
        </w:rPr>
        <w:t>ANA, ACL and ASO4 denote Na</w:t>
      </w:r>
      <w:r w:rsidR="00576A78" w:rsidRPr="00576A78">
        <w:rPr>
          <w:sz w:val="18"/>
          <w:vertAlign w:val="superscript"/>
        </w:rPr>
        <w:t>+</w:t>
      </w:r>
      <w:r w:rsidR="00576A78">
        <w:rPr>
          <w:sz w:val="18"/>
        </w:rPr>
        <w:t>, Cl</w:t>
      </w:r>
      <w:r w:rsidR="00576A78" w:rsidRPr="00576A78">
        <w:rPr>
          <w:sz w:val="18"/>
          <w:vertAlign w:val="superscript"/>
        </w:rPr>
        <w:t>-</w:t>
      </w:r>
      <w:r w:rsidR="00576A78">
        <w:rPr>
          <w:sz w:val="18"/>
        </w:rPr>
        <w:t xml:space="preserve"> and SO</w:t>
      </w:r>
      <w:r w:rsidR="00576A78" w:rsidRPr="00576A78">
        <w:rPr>
          <w:sz w:val="18"/>
          <w:vertAlign w:val="subscript"/>
        </w:rPr>
        <w:t>4</w:t>
      </w:r>
      <w:r w:rsidR="00576A78" w:rsidRPr="00576A78">
        <w:rPr>
          <w:sz w:val="18"/>
          <w:vertAlign w:val="superscript"/>
        </w:rPr>
        <w:t>2-</w:t>
      </w:r>
      <w:r w:rsidR="00272ADE">
        <w:rPr>
          <w:sz w:val="18"/>
        </w:rPr>
        <w:t xml:space="preserve"> emissions, respectively.</w:t>
      </w:r>
    </w:p>
    <w:p w14:paraId="089FB644" w14:textId="3A8F44BF" w:rsidR="0015609E" w:rsidRDefault="00CD4B47" w:rsidP="00562AC0">
      <w:r>
        <w:t xml:space="preserve">Open ocean and surf zone fraction per grid cell are needed for calculating sea salt emissions in CMAQ (see </w:t>
      </w:r>
      <w:r>
        <w:fldChar w:fldCharType="begin"/>
      </w:r>
      <w:r>
        <w:instrText xml:space="preserve"> REF _Ref440361715 \h </w:instrText>
      </w:r>
      <w:r w:rsidR="00562AC0">
        <w:instrText xml:space="preserve"> \* MERGEFORMAT </w:instrText>
      </w:r>
      <w:r>
        <w:fldChar w:fldCharType="separate"/>
      </w:r>
      <w:r>
        <w:t>Table S</w:t>
      </w:r>
      <w:r>
        <w:rPr>
          <w:noProof/>
        </w:rPr>
        <w:t>2</w:t>
      </w:r>
      <w:r>
        <w:fldChar w:fldCharType="end"/>
      </w:r>
      <w:r>
        <w:t>). Additionally, these data are needed for the simulation result evaluation.</w:t>
      </w:r>
      <w:r w:rsidR="0041476D">
        <w:t xml:space="preserve"> The files are located in the subdirectory ‘</w:t>
      </w:r>
      <w:proofErr w:type="spellStart"/>
      <w:r w:rsidR="0041476D">
        <w:t>cmaq</w:t>
      </w:r>
      <w:proofErr w:type="spellEnd"/>
      <w:r w:rsidR="0041476D">
        <w:t>’.</w:t>
      </w:r>
    </w:p>
    <w:p w14:paraId="72201116" w14:textId="77777777" w:rsidR="00CD4B47" w:rsidRDefault="00CD4B47" w:rsidP="00CD4B47">
      <w:pPr>
        <w:pStyle w:val="Caption"/>
        <w:keepNext/>
      </w:pPr>
      <w:bookmarkStart w:id="10" w:name="_Ref440361715"/>
      <w:r>
        <w:t>Table S</w:t>
      </w:r>
      <w:fldSimple w:instr=" SEQ Table \* ARABIC ">
        <w:r>
          <w:rPr>
            <w:noProof/>
          </w:rPr>
          <w:t>2</w:t>
        </w:r>
      </w:fldSimple>
      <w:bookmarkEnd w:id="10"/>
      <w:r>
        <w:t>: Input files for CMAQ. Files are also needed for the data evaluation.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3261"/>
        <w:gridCol w:w="2976"/>
        <w:gridCol w:w="1809"/>
      </w:tblGrid>
      <w:tr w:rsidR="0015609E" w:rsidRPr="00DA3193" w14:paraId="7AA6142C" w14:textId="77777777" w:rsidTr="00E63E87">
        <w:tc>
          <w:tcPr>
            <w:tcW w:w="1242" w:type="dxa"/>
            <w:tcBorders>
              <w:top w:val="single" w:sz="4" w:space="0" w:color="auto"/>
              <w:bottom w:val="single" w:sz="4" w:space="0" w:color="auto"/>
            </w:tcBorders>
          </w:tcPr>
          <w:p w14:paraId="533C76A5" w14:textId="77777777" w:rsidR="0015609E" w:rsidRPr="00DA3193" w:rsidRDefault="0015609E" w:rsidP="005215AD">
            <w:pPr>
              <w:spacing w:before="80"/>
              <w:rPr>
                <w:b/>
              </w:rPr>
            </w:pPr>
            <w:r w:rsidRPr="00DA3193">
              <w:rPr>
                <w:b/>
              </w:rPr>
              <w:t>Type</w:t>
            </w:r>
          </w:p>
        </w:tc>
        <w:tc>
          <w:tcPr>
            <w:tcW w:w="3261" w:type="dxa"/>
            <w:tcBorders>
              <w:top w:val="single" w:sz="4" w:space="0" w:color="auto"/>
              <w:bottom w:val="single" w:sz="4" w:space="0" w:color="auto"/>
            </w:tcBorders>
          </w:tcPr>
          <w:p w14:paraId="51A0894F" w14:textId="77777777" w:rsidR="0015609E" w:rsidRPr="00DA3193" w:rsidRDefault="0015609E" w:rsidP="005215AD">
            <w:pPr>
              <w:spacing w:before="80"/>
              <w:rPr>
                <w:b/>
              </w:rPr>
            </w:pPr>
            <w:r w:rsidRPr="00DA3193">
              <w:rPr>
                <w:b/>
              </w:rPr>
              <w:t>Comment</w:t>
            </w:r>
          </w:p>
        </w:tc>
        <w:tc>
          <w:tcPr>
            <w:tcW w:w="2976" w:type="dxa"/>
            <w:tcBorders>
              <w:top w:val="single" w:sz="4" w:space="0" w:color="auto"/>
              <w:bottom w:val="single" w:sz="4" w:space="0" w:color="auto"/>
            </w:tcBorders>
          </w:tcPr>
          <w:p w14:paraId="16C06EB9" w14:textId="77777777" w:rsidR="0015609E" w:rsidRPr="00DA3193" w:rsidRDefault="0015609E" w:rsidP="005215AD">
            <w:pPr>
              <w:spacing w:before="80"/>
              <w:rPr>
                <w:b/>
              </w:rPr>
            </w:pPr>
            <w:r>
              <w:rPr>
                <w:b/>
              </w:rPr>
              <w:t>Files</w:t>
            </w:r>
          </w:p>
        </w:tc>
        <w:tc>
          <w:tcPr>
            <w:tcW w:w="1809" w:type="dxa"/>
            <w:tcBorders>
              <w:top w:val="single" w:sz="4" w:space="0" w:color="auto"/>
              <w:bottom w:val="single" w:sz="4" w:space="0" w:color="auto"/>
            </w:tcBorders>
          </w:tcPr>
          <w:p w14:paraId="6F646C92" w14:textId="77777777" w:rsidR="0015609E" w:rsidRDefault="0015609E" w:rsidP="005215AD">
            <w:pPr>
              <w:spacing w:before="80"/>
              <w:rPr>
                <w:b/>
              </w:rPr>
            </w:pPr>
            <w:proofErr w:type="spellStart"/>
            <w:r>
              <w:rPr>
                <w:b/>
              </w:rPr>
              <w:t>Corresp</w:t>
            </w:r>
            <w:proofErr w:type="spellEnd"/>
            <w:r>
              <w:rPr>
                <w:b/>
              </w:rPr>
              <w:t>. Fig.</w:t>
            </w:r>
          </w:p>
        </w:tc>
      </w:tr>
      <w:tr w:rsidR="0015609E" w:rsidRPr="003311EF" w14:paraId="21A2CDCC" w14:textId="77777777" w:rsidTr="00E63E87">
        <w:tc>
          <w:tcPr>
            <w:tcW w:w="1242" w:type="dxa"/>
            <w:tcBorders>
              <w:top w:val="single" w:sz="4" w:space="0" w:color="auto"/>
              <w:bottom w:val="single" w:sz="4" w:space="0" w:color="auto"/>
            </w:tcBorders>
          </w:tcPr>
          <w:p w14:paraId="5060D4FE" w14:textId="77777777" w:rsidR="0015609E" w:rsidRPr="003311EF" w:rsidRDefault="00CD4B47" w:rsidP="005215AD">
            <w:pPr>
              <w:spacing w:before="60" w:after="60"/>
              <w:rPr>
                <w:sz w:val="20"/>
              </w:rPr>
            </w:pPr>
            <w:r>
              <w:rPr>
                <w:sz w:val="20"/>
              </w:rPr>
              <w:t>Sea Surface Fraction</w:t>
            </w:r>
          </w:p>
        </w:tc>
        <w:tc>
          <w:tcPr>
            <w:tcW w:w="3261" w:type="dxa"/>
            <w:tcBorders>
              <w:top w:val="single" w:sz="4" w:space="0" w:color="auto"/>
              <w:bottom w:val="single" w:sz="4" w:space="0" w:color="auto"/>
            </w:tcBorders>
          </w:tcPr>
          <w:p w14:paraId="2DD7FB9A" w14:textId="77777777" w:rsidR="0015609E" w:rsidRPr="003311EF" w:rsidRDefault="00CD4B47" w:rsidP="00CD4B47">
            <w:pPr>
              <w:spacing w:before="60" w:after="60"/>
              <w:rPr>
                <w:sz w:val="20"/>
              </w:rPr>
            </w:pPr>
            <w:r>
              <w:rPr>
                <w:sz w:val="20"/>
              </w:rPr>
              <w:t>Ocean file needed for sea salt emissions in CMAQ; contains OPEN (open ocean fraction), SURF (surf zone fraction), and MASK (0 = land; 1 = coast; 2 = open ocean)</w:t>
            </w:r>
          </w:p>
        </w:tc>
        <w:tc>
          <w:tcPr>
            <w:tcW w:w="2976" w:type="dxa"/>
            <w:tcBorders>
              <w:top w:val="single" w:sz="4" w:space="0" w:color="auto"/>
              <w:bottom w:val="single" w:sz="4" w:space="0" w:color="auto"/>
            </w:tcBorders>
          </w:tcPr>
          <w:p w14:paraId="724C6529" w14:textId="77777777" w:rsidR="00E63E87" w:rsidRDefault="00E63E87" w:rsidP="00E63E87">
            <w:pPr>
              <w:spacing w:before="60" w:after="60"/>
              <w:rPr>
                <w:sz w:val="20"/>
              </w:rPr>
            </w:pPr>
            <w:r>
              <w:rPr>
                <w:sz w:val="20"/>
              </w:rPr>
              <w:t>*</w:t>
            </w:r>
            <w:r w:rsidRPr="00E63E87">
              <w:rPr>
                <w:sz w:val="20"/>
              </w:rPr>
              <w:t>sf050m</w:t>
            </w:r>
            <w:r>
              <w:rPr>
                <w:sz w:val="20"/>
              </w:rPr>
              <w:t>*</w:t>
            </w:r>
            <w:r w:rsidRPr="00E63E87">
              <w:rPr>
                <w:sz w:val="20"/>
              </w:rPr>
              <w:t>ubound_sal.nc</w:t>
            </w:r>
            <w:r>
              <w:rPr>
                <w:sz w:val="20"/>
              </w:rPr>
              <w:t xml:space="preserve"> (base)</w:t>
            </w:r>
          </w:p>
          <w:p w14:paraId="70F41B25" w14:textId="15F4155F" w:rsidR="00E63E87" w:rsidRDefault="00E63E87" w:rsidP="005215AD">
            <w:pPr>
              <w:spacing w:before="60" w:after="60"/>
              <w:rPr>
                <w:sz w:val="20"/>
              </w:rPr>
            </w:pPr>
            <w:r>
              <w:rPr>
                <w:sz w:val="20"/>
              </w:rPr>
              <w:t>*sf000m*ubound.nc (</w:t>
            </w:r>
            <w:proofErr w:type="spellStart"/>
            <w:r>
              <w:rPr>
                <w:sz w:val="20"/>
              </w:rPr>
              <w:t>noSurf</w:t>
            </w:r>
            <w:proofErr w:type="spellEnd"/>
            <w:r>
              <w:rPr>
                <w:sz w:val="20"/>
              </w:rPr>
              <w:t>)</w:t>
            </w:r>
          </w:p>
          <w:p w14:paraId="77D1C682" w14:textId="78AE5141" w:rsidR="00E63E87" w:rsidRDefault="00E63E87" w:rsidP="005215AD">
            <w:pPr>
              <w:spacing w:before="60" w:after="60"/>
              <w:rPr>
                <w:sz w:val="20"/>
              </w:rPr>
            </w:pPr>
            <w:r>
              <w:rPr>
                <w:sz w:val="20"/>
              </w:rPr>
              <w:t>*</w:t>
            </w:r>
            <w:r w:rsidRPr="00E63E87">
              <w:rPr>
                <w:sz w:val="20"/>
              </w:rPr>
              <w:t>noSalt</w:t>
            </w:r>
            <w:r>
              <w:rPr>
                <w:sz w:val="20"/>
              </w:rPr>
              <w:t>*.nc (zero)</w:t>
            </w:r>
          </w:p>
          <w:p w14:paraId="21244D53" w14:textId="0FC5FE23" w:rsidR="00E63E87" w:rsidRDefault="00E63E87" w:rsidP="005215AD">
            <w:pPr>
              <w:spacing w:before="60" w:after="60"/>
              <w:rPr>
                <w:sz w:val="20"/>
              </w:rPr>
            </w:pPr>
            <w:r>
              <w:rPr>
                <w:sz w:val="20"/>
              </w:rPr>
              <w:t>*</w:t>
            </w:r>
            <w:r w:rsidRPr="00E63E87">
              <w:rPr>
                <w:sz w:val="20"/>
              </w:rPr>
              <w:t>sf050m</w:t>
            </w:r>
            <w:r>
              <w:rPr>
                <w:sz w:val="20"/>
              </w:rPr>
              <w:t>*</w:t>
            </w:r>
            <w:r w:rsidRPr="00E63E87">
              <w:rPr>
                <w:sz w:val="20"/>
              </w:rPr>
              <w:t>ubound.nc</w:t>
            </w:r>
            <w:r>
              <w:rPr>
                <w:sz w:val="20"/>
              </w:rPr>
              <w:t xml:space="preserve"> (full)</w:t>
            </w:r>
          </w:p>
          <w:p w14:paraId="014F5EF8" w14:textId="6C0AF61F" w:rsidR="0015609E" w:rsidRPr="003311EF" w:rsidRDefault="00E63E87" w:rsidP="00E63E87">
            <w:pPr>
              <w:spacing w:before="60" w:after="60"/>
              <w:rPr>
                <w:sz w:val="20"/>
              </w:rPr>
            </w:pPr>
            <w:r>
              <w:rPr>
                <w:sz w:val="20"/>
              </w:rPr>
              <w:t>*sf050m*sal.nc (no surf zone fraction capping)</w:t>
            </w:r>
          </w:p>
        </w:tc>
        <w:tc>
          <w:tcPr>
            <w:tcW w:w="1809" w:type="dxa"/>
            <w:tcBorders>
              <w:top w:val="single" w:sz="4" w:space="0" w:color="auto"/>
              <w:bottom w:val="single" w:sz="4" w:space="0" w:color="auto"/>
            </w:tcBorders>
          </w:tcPr>
          <w:p w14:paraId="5CFAEEAA" w14:textId="77777777" w:rsidR="0015609E" w:rsidRPr="003311EF" w:rsidRDefault="00CD4B47" w:rsidP="005215AD">
            <w:pPr>
              <w:spacing w:before="60" w:after="60"/>
              <w:rPr>
                <w:sz w:val="20"/>
              </w:rPr>
            </w:pPr>
            <w:r>
              <w:rPr>
                <w:sz w:val="20"/>
              </w:rPr>
              <w:t>S4 and S5</w:t>
            </w:r>
          </w:p>
        </w:tc>
      </w:tr>
    </w:tbl>
    <w:p w14:paraId="2E4AC50B" w14:textId="77777777" w:rsidR="00482958" w:rsidRDefault="00482958" w:rsidP="00482958"/>
    <w:p w14:paraId="760A76BD" w14:textId="1B52967F" w:rsidR="00482958" w:rsidRDefault="00482958" w:rsidP="001739F5">
      <w:pPr>
        <w:jc w:val="both"/>
      </w:pPr>
      <w:r>
        <w:t xml:space="preserve">Data on the statistical evaluation are </w:t>
      </w:r>
      <w:r w:rsidR="001739F5">
        <w:t>in the file ‘</w:t>
      </w:r>
      <w:r w:rsidR="001739F5" w:rsidRPr="00120AAF">
        <w:t>statistical.evaluation.</w:t>
      </w:r>
      <w:r w:rsidR="0017026E">
        <w:t>conc.</w:t>
      </w:r>
      <w:r w:rsidR="001739F5" w:rsidRPr="00120AAF">
        <w:t>csv</w:t>
      </w:r>
      <w:r w:rsidR="001739F5">
        <w:t>’</w:t>
      </w:r>
      <w:r>
        <w:t xml:space="preserve"> in the directory ‘</w:t>
      </w:r>
      <w:proofErr w:type="spellStart"/>
      <w:r>
        <w:t>conc</w:t>
      </w:r>
      <w:proofErr w:type="spellEnd"/>
      <w:r>
        <w:t>’</w:t>
      </w:r>
      <w:r w:rsidR="0017026E">
        <w:t xml:space="preserve"> and in ‘statistical.evaluation.wetdep.csv’ in ‘</w:t>
      </w:r>
      <w:proofErr w:type="spellStart"/>
      <w:r w:rsidR="0017026E">
        <w:t>n_wetdep</w:t>
      </w:r>
      <w:proofErr w:type="spellEnd"/>
      <w:r w:rsidR="0017026E">
        <w:t>’. They contain</w:t>
      </w:r>
    </w:p>
    <w:p w14:paraId="0A7A3A9B" w14:textId="77777777" w:rsidR="00482958" w:rsidRDefault="00482958" w:rsidP="00482958">
      <w:pPr>
        <w:pStyle w:val="ListParagraph"/>
        <w:numPr>
          <w:ilvl w:val="0"/>
          <w:numId w:val="18"/>
        </w:numPr>
      </w:pPr>
      <w:r>
        <w:t>n (number of considered values),</w:t>
      </w:r>
    </w:p>
    <w:p w14:paraId="0E270F39" w14:textId="0DEE6CFA" w:rsidR="00482958" w:rsidRDefault="00482958" w:rsidP="00482958">
      <w:pPr>
        <w:pStyle w:val="ListParagraph"/>
        <w:numPr>
          <w:ilvl w:val="0"/>
          <w:numId w:val="18"/>
        </w:numPr>
      </w:pPr>
      <w:r>
        <w:t>RAE (residual absolute error)</w:t>
      </w:r>
      <w:r w:rsidRPr="00DA3193">
        <w:t>,</w:t>
      </w:r>
    </w:p>
    <w:p w14:paraId="0B7FB90E" w14:textId="24DB02B0" w:rsidR="00482958" w:rsidRDefault="00482958" w:rsidP="00482958">
      <w:pPr>
        <w:pStyle w:val="ListParagraph"/>
        <w:numPr>
          <w:ilvl w:val="0"/>
          <w:numId w:val="18"/>
        </w:numPr>
      </w:pPr>
      <w:r>
        <w:t>MNB (mean normalized bias)</w:t>
      </w:r>
      <w:r w:rsidRPr="00DA3193">
        <w:t>,</w:t>
      </w:r>
    </w:p>
    <w:p w14:paraId="3DEAFC2B" w14:textId="6885B404" w:rsidR="00482958" w:rsidRDefault="00482958" w:rsidP="00482958">
      <w:pPr>
        <w:pStyle w:val="ListParagraph"/>
        <w:numPr>
          <w:ilvl w:val="0"/>
          <w:numId w:val="18"/>
        </w:numPr>
      </w:pPr>
      <w:r>
        <w:t>R (Spearman’s correlation coefficient)</w:t>
      </w:r>
      <w:r w:rsidRPr="00DA3193">
        <w:t>,</w:t>
      </w:r>
    </w:p>
    <w:p w14:paraId="7AD8CC4B" w14:textId="0B2D497B" w:rsidR="00482958" w:rsidRDefault="00482958" w:rsidP="00482958">
      <w:pPr>
        <w:pStyle w:val="ListParagraph"/>
        <w:numPr>
          <w:ilvl w:val="0"/>
          <w:numId w:val="18"/>
        </w:numPr>
      </w:pPr>
      <w:proofErr w:type="spellStart"/>
      <w:r>
        <w:t>MEAN</w:t>
      </w:r>
      <w:r w:rsidRPr="00DA3193">
        <w:t>.sim</w:t>
      </w:r>
      <w:proofErr w:type="spellEnd"/>
      <w:r>
        <w:t xml:space="preserve"> (mean of considered model values)</w:t>
      </w:r>
      <w:r w:rsidRPr="00DA3193">
        <w:t>,</w:t>
      </w:r>
    </w:p>
    <w:p w14:paraId="6A224ECE" w14:textId="16914FC1" w:rsidR="00482958" w:rsidRDefault="00482958" w:rsidP="00482958">
      <w:pPr>
        <w:pStyle w:val="ListParagraph"/>
        <w:numPr>
          <w:ilvl w:val="0"/>
          <w:numId w:val="18"/>
        </w:numPr>
      </w:pPr>
      <w:proofErr w:type="spellStart"/>
      <w:r>
        <w:t>MEAN</w:t>
      </w:r>
      <w:r w:rsidRPr="00DA3193">
        <w:t>.obs</w:t>
      </w:r>
      <w:proofErr w:type="spellEnd"/>
      <w:r>
        <w:t xml:space="preserve"> (mean of considered EMEP values)</w:t>
      </w:r>
      <w:r w:rsidRPr="00DA3193">
        <w:t>,</w:t>
      </w:r>
    </w:p>
    <w:p w14:paraId="413634E3" w14:textId="3418E76F" w:rsidR="00482958" w:rsidRDefault="00482958" w:rsidP="00482958">
      <w:pPr>
        <w:pStyle w:val="ListParagraph"/>
        <w:numPr>
          <w:ilvl w:val="0"/>
          <w:numId w:val="18"/>
        </w:numPr>
      </w:pPr>
      <w:proofErr w:type="spellStart"/>
      <w:r>
        <w:t>MEDIAN</w:t>
      </w:r>
      <w:r w:rsidRPr="00DA3193">
        <w:t>.sim</w:t>
      </w:r>
      <w:proofErr w:type="spellEnd"/>
      <w:r>
        <w:t xml:space="preserve"> (median of considered model values)</w:t>
      </w:r>
      <w:r w:rsidR="001739F5">
        <w:t>,</w:t>
      </w:r>
      <w:r>
        <w:t xml:space="preserve"> and </w:t>
      </w:r>
    </w:p>
    <w:p w14:paraId="0575F51E" w14:textId="25F1EC48" w:rsidR="00482958" w:rsidRDefault="00482958" w:rsidP="00482958">
      <w:pPr>
        <w:pStyle w:val="ListParagraph"/>
        <w:numPr>
          <w:ilvl w:val="0"/>
          <w:numId w:val="18"/>
        </w:numPr>
      </w:pPr>
      <w:proofErr w:type="spellStart"/>
      <w:r>
        <w:t>MEDIAN</w:t>
      </w:r>
      <w:r w:rsidRPr="00DA3193">
        <w:t>.obs</w:t>
      </w:r>
      <w:proofErr w:type="spellEnd"/>
      <w:r>
        <w:t xml:space="preserve"> (median of considered EMEP values).</w:t>
      </w:r>
    </w:p>
    <w:p w14:paraId="74C0C117" w14:textId="77777777" w:rsidR="004C4886" w:rsidRDefault="004C4886" w:rsidP="009F6D63">
      <w:pPr>
        <w:pStyle w:val="Heading1"/>
      </w:pPr>
      <w:bookmarkStart w:id="11" w:name="_Toc440538744"/>
      <w:r>
        <w:lastRenderedPageBreak/>
        <w:t>EMEP data</w:t>
      </w:r>
      <w:bookmarkEnd w:id="11"/>
    </w:p>
    <w:p w14:paraId="21BC885E" w14:textId="77777777" w:rsidR="004C4886" w:rsidRDefault="004C4886" w:rsidP="000F4914">
      <w:pPr>
        <w:jc w:val="both"/>
      </w:pPr>
      <w:r>
        <w:t xml:space="preserve">EMEP data for the comparison can be obtained from the EBAS database at </w:t>
      </w:r>
      <w:hyperlink r:id="rId13" w:history="1">
        <w:r w:rsidR="000F4914" w:rsidRPr="00F46687">
          <w:rPr>
            <w:rStyle w:val="Hyperlink"/>
          </w:rPr>
          <w:t>http://ebas.nilu.no</w:t>
        </w:r>
      </w:hyperlink>
      <w:r>
        <w:t>. Data for the year 2008 for the following stations were obtained for the evaluation of model data.</w:t>
      </w:r>
    </w:p>
    <w:p w14:paraId="58C83F1C" w14:textId="77777777" w:rsidR="00457C35" w:rsidRPr="00457C35" w:rsidRDefault="00457C35" w:rsidP="00457C35">
      <w:pPr>
        <w:pStyle w:val="Caption"/>
        <w:keepNext/>
        <w:rPr>
          <w:b/>
        </w:rPr>
      </w:pPr>
      <w:r w:rsidRPr="00457C35">
        <w:t xml:space="preserve">Table </w:t>
      </w:r>
      <w:r w:rsidR="00CD4B47">
        <w:t>s</w:t>
      </w:r>
      <w:fldSimple w:instr=" SEQ Table \* ARABIC ">
        <w:r w:rsidR="00CD4B47">
          <w:rPr>
            <w:noProof/>
          </w:rPr>
          <w:t>3</w:t>
        </w:r>
      </w:fldSimple>
      <w:r w:rsidRPr="00457C35">
        <w:t xml:space="preserve">: EMEP stations </w:t>
      </w:r>
      <w:r>
        <w:t>at which model and measurement data were compared</w:t>
      </w:r>
      <w:r w:rsidR="005766DF">
        <w:t xml:space="preserve"> statistically</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1"/>
        <w:gridCol w:w="1421"/>
        <w:gridCol w:w="2551"/>
        <w:gridCol w:w="839"/>
        <w:gridCol w:w="862"/>
        <w:gridCol w:w="1101"/>
        <w:gridCol w:w="1133"/>
      </w:tblGrid>
      <w:tr w:rsidR="00821C26" w:rsidRPr="00DA3193" w14:paraId="6FC28DA8" w14:textId="77777777" w:rsidTr="00821C26">
        <w:tc>
          <w:tcPr>
            <w:tcW w:w="1381" w:type="dxa"/>
            <w:tcBorders>
              <w:top w:val="single" w:sz="4" w:space="0" w:color="auto"/>
              <w:bottom w:val="single" w:sz="4" w:space="0" w:color="auto"/>
            </w:tcBorders>
          </w:tcPr>
          <w:p w14:paraId="152A0185" w14:textId="77777777" w:rsidR="00790AF6" w:rsidRPr="00DA3193" w:rsidRDefault="00790AF6" w:rsidP="00DA3193">
            <w:pPr>
              <w:spacing w:before="80"/>
              <w:rPr>
                <w:b/>
              </w:rPr>
            </w:pPr>
            <w:r w:rsidRPr="00DA3193">
              <w:rPr>
                <w:b/>
              </w:rPr>
              <w:t>Station ID</w:t>
            </w:r>
          </w:p>
        </w:tc>
        <w:tc>
          <w:tcPr>
            <w:tcW w:w="1421" w:type="dxa"/>
            <w:tcBorders>
              <w:top w:val="single" w:sz="4" w:space="0" w:color="auto"/>
              <w:bottom w:val="single" w:sz="4" w:space="0" w:color="auto"/>
            </w:tcBorders>
          </w:tcPr>
          <w:p w14:paraId="078917D2" w14:textId="77777777" w:rsidR="00790AF6" w:rsidRPr="00DA3193" w:rsidRDefault="00790AF6" w:rsidP="00DA3193">
            <w:pPr>
              <w:spacing w:before="80"/>
              <w:rPr>
                <w:b/>
              </w:rPr>
            </w:pPr>
            <w:r w:rsidRPr="00DA3193">
              <w:rPr>
                <w:b/>
              </w:rPr>
              <w:t>Station Name</w:t>
            </w:r>
          </w:p>
        </w:tc>
        <w:tc>
          <w:tcPr>
            <w:tcW w:w="2551" w:type="dxa"/>
            <w:tcBorders>
              <w:top w:val="single" w:sz="4" w:space="0" w:color="auto"/>
              <w:bottom w:val="single" w:sz="4" w:space="0" w:color="auto"/>
            </w:tcBorders>
          </w:tcPr>
          <w:p w14:paraId="31639839" w14:textId="77777777" w:rsidR="00790AF6" w:rsidRPr="00DA3193" w:rsidRDefault="00790AF6" w:rsidP="00DA3193">
            <w:pPr>
              <w:spacing w:before="80"/>
              <w:rPr>
                <w:b/>
              </w:rPr>
            </w:pPr>
            <w:r>
              <w:rPr>
                <w:b/>
              </w:rPr>
              <w:t>Data</w:t>
            </w:r>
          </w:p>
        </w:tc>
        <w:tc>
          <w:tcPr>
            <w:tcW w:w="839" w:type="dxa"/>
            <w:tcBorders>
              <w:top w:val="single" w:sz="4" w:space="0" w:color="auto"/>
              <w:bottom w:val="single" w:sz="4" w:space="0" w:color="auto"/>
            </w:tcBorders>
          </w:tcPr>
          <w:p w14:paraId="54D3A0BE" w14:textId="77777777" w:rsidR="00790AF6" w:rsidRPr="00DA3193" w:rsidRDefault="00790AF6" w:rsidP="00DA3193">
            <w:pPr>
              <w:spacing w:before="80"/>
              <w:jc w:val="right"/>
              <w:rPr>
                <w:b/>
              </w:rPr>
            </w:pPr>
            <w:r>
              <w:rPr>
                <w:b/>
              </w:rPr>
              <w:t>Lon</w:t>
            </w:r>
          </w:p>
        </w:tc>
        <w:tc>
          <w:tcPr>
            <w:tcW w:w="862" w:type="dxa"/>
            <w:tcBorders>
              <w:top w:val="single" w:sz="4" w:space="0" w:color="auto"/>
              <w:bottom w:val="single" w:sz="4" w:space="0" w:color="auto"/>
            </w:tcBorders>
          </w:tcPr>
          <w:p w14:paraId="55CA714A" w14:textId="77777777" w:rsidR="00790AF6" w:rsidRPr="00DA3193" w:rsidRDefault="00790AF6" w:rsidP="00DA3193">
            <w:pPr>
              <w:spacing w:before="80"/>
              <w:jc w:val="right"/>
              <w:rPr>
                <w:b/>
              </w:rPr>
            </w:pPr>
            <w:r>
              <w:rPr>
                <w:b/>
              </w:rPr>
              <w:t>Lat</w:t>
            </w:r>
          </w:p>
        </w:tc>
        <w:tc>
          <w:tcPr>
            <w:tcW w:w="1101" w:type="dxa"/>
            <w:tcBorders>
              <w:top w:val="single" w:sz="4" w:space="0" w:color="auto"/>
              <w:bottom w:val="single" w:sz="4" w:space="0" w:color="auto"/>
            </w:tcBorders>
          </w:tcPr>
          <w:p w14:paraId="5268FCAC" w14:textId="77777777" w:rsidR="00790AF6" w:rsidRPr="00790AF6" w:rsidRDefault="00790AF6" w:rsidP="00DA3193">
            <w:pPr>
              <w:spacing w:before="80"/>
              <w:jc w:val="right"/>
              <w:rPr>
                <w:b/>
                <w:lang w:val="en-US"/>
              </w:rPr>
            </w:pPr>
            <w:r w:rsidRPr="00DA3193">
              <w:rPr>
                <w:b/>
              </w:rPr>
              <w:t>Height</w:t>
            </w:r>
            <w:r>
              <w:rPr>
                <w:b/>
              </w:rPr>
              <w:t xml:space="preserve"> </w:t>
            </w:r>
            <w:r>
              <w:rPr>
                <w:b/>
                <w:lang w:val="en-US"/>
              </w:rPr>
              <w:t>[m]</w:t>
            </w:r>
          </w:p>
        </w:tc>
        <w:tc>
          <w:tcPr>
            <w:tcW w:w="1133" w:type="dxa"/>
            <w:tcBorders>
              <w:top w:val="single" w:sz="4" w:space="0" w:color="auto"/>
              <w:bottom w:val="single" w:sz="4" w:space="0" w:color="auto"/>
            </w:tcBorders>
          </w:tcPr>
          <w:p w14:paraId="20B235B1" w14:textId="77777777" w:rsidR="00790AF6" w:rsidRPr="00DA3193" w:rsidRDefault="00790AF6" w:rsidP="00DA3193">
            <w:pPr>
              <w:spacing w:before="80"/>
              <w:jc w:val="right"/>
              <w:rPr>
                <w:b/>
              </w:rPr>
            </w:pPr>
            <w:r>
              <w:rPr>
                <w:b/>
              </w:rPr>
              <w:t>Location</w:t>
            </w:r>
          </w:p>
        </w:tc>
      </w:tr>
      <w:tr w:rsidR="00821C26" w:rsidRPr="00D076AF" w14:paraId="08BF78D0" w14:textId="77777777" w:rsidTr="00821C26">
        <w:tc>
          <w:tcPr>
            <w:tcW w:w="1381" w:type="dxa"/>
            <w:tcBorders>
              <w:top w:val="single" w:sz="4" w:space="0" w:color="auto"/>
            </w:tcBorders>
          </w:tcPr>
          <w:p w14:paraId="15C15561" w14:textId="77777777" w:rsidR="00790AF6" w:rsidRPr="00D076AF" w:rsidRDefault="00790AF6" w:rsidP="001B6F54">
            <w:pPr>
              <w:spacing w:before="40" w:after="60"/>
              <w:rPr>
                <w:sz w:val="20"/>
                <w:szCs w:val="20"/>
              </w:rPr>
            </w:pPr>
            <w:r w:rsidRPr="00D076AF">
              <w:rPr>
                <w:sz w:val="20"/>
                <w:szCs w:val="20"/>
              </w:rPr>
              <w:t>DE0001R</w:t>
            </w:r>
          </w:p>
        </w:tc>
        <w:tc>
          <w:tcPr>
            <w:tcW w:w="1421" w:type="dxa"/>
            <w:tcBorders>
              <w:top w:val="single" w:sz="4" w:space="0" w:color="auto"/>
            </w:tcBorders>
          </w:tcPr>
          <w:p w14:paraId="34F51AB8" w14:textId="77777777" w:rsidR="00790AF6" w:rsidRPr="00D076AF" w:rsidRDefault="00790AF6" w:rsidP="001B6F54">
            <w:pPr>
              <w:spacing w:before="40" w:after="60"/>
              <w:rPr>
                <w:sz w:val="20"/>
                <w:szCs w:val="20"/>
              </w:rPr>
            </w:pPr>
            <w:r w:rsidRPr="00D076AF">
              <w:rPr>
                <w:sz w:val="20"/>
                <w:szCs w:val="20"/>
              </w:rPr>
              <w:t>Westerland</w:t>
            </w:r>
          </w:p>
        </w:tc>
        <w:tc>
          <w:tcPr>
            <w:tcW w:w="2551" w:type="dxa"/>
            <w:tcBorders>
              <w:top w:val="single" w:sz="4" w:space="0" w:color="auto"/>
            </w:tcBorders>
          </w:tcPr>
          <w:p w14:paraId="3A0ECC53" w14:textId="77777777" w:rsidR="00790AF6" w:rsidRPr="00D076AF" w:rsidRDefault="00790AF6" w:rsidP="001B6F54">
            <w:pPr>
              <w:spacing w:before="40" w:after="60"/>
              <w:rPr>
                <w:sz w:val="20"/>
                <w:szCs w:val="20"/>
              </w:rPr>
            </w:pPr>
            <w:r>
              <w:rPr>
                <w:sz w:val="20"/>
                <w:szCs w:val="20"/>
              </w:rPr>
              <w:t>Na</w:t>
            </w:r>
            <w:r w:rsidRPr="00790AF6">
              <w:rPr>
                <w:sz w:val="20"/>
                <w:szCs w:val="20"/>
                <w:vertAlign w:val="superscript"/>
              </w:rPr>
              <w:t>+</w:t>
            </w:r>
            <w:r>
              <w:rPr>
                <w:sz w:val="20"/>
                <w:szCs w:val="20"/>
              </w:rPr>
              <w:t xml:space="preserve">, </w:t>
            </w:r>
            <w:r w:rsidR="00821C26">
              <w:rPr>
                <w:sz w:val="20"/>
                <w:szCs w:val="20"/>
              </w:rPr>
              <w:t>(</w:t>
            </w:r>
            <w:r>
              <w:rPr>
                <w:sz w:val="20"/>
                <w:szCs w:val="20"/>
              </w:rPr>
              <w:t>NO</w:t>
            </w:r>
            <w:r w:rsidRPr="00790AF6">
              <w:rPr>
                <w:sz w:val="20"/>
                <w:szCs w:val="20"/>
                <w:vertAlign w:val="subscript"/>
              </w:rPr>
              <w:t>3</w:t>
            </w:r>
            <w:r w:rsidRPr="00790AF6">
              <w:rPr>
                <w:sz w:val="20"/>
                <w:szCs w:val="20"/>
                <w:vertAlign w:val="superscript"/>
              </w:rPr>
              <w:t>-</w:t>
            </w:r>
            <w:r>
              <w:rPr>
                <w:sz w:val="20"/>
                <w:szCs w:val="20"/>
              </w:rPr>
              <w:t>,</w:t>
            </w:r>
            <w:r w:rsidR="00821C26">
              <w:rPr>
                <w:sz w:val="20"/>
                <w:szCs w:val="20"/>
              </w:rPr>
              <w:t>)</w:t>
            </w:r>
            <w:r>
              <w:rPr>
                <w:sz w:val="20"/>
                <w:szCs w:val="20"/>
              </w:rPr>
              <w:t xml:space="preserve"> sNO</w:t>
            </w:r>
            <w:r w:rsidRPr="00790AF6">
              <w:rPr>
                <w:sz w:val="20"/>
                <w:szCs w:val="20"/>
                <w:vertAlign w:val="subscript"/>
              </w:rPr>
              <w:t>3</w:t>
            </w:r>
            <w:r>
              <w:rPr>
                <w:sz w:val="20"/>
                <w:szCs w:val="20"/>
              </w:rPr>
              <w:t>, sNH</w:t>
            </w:r>
            <w:r w:rsidRPr="00790AF6">
              <w:rPr>
                <w:sz w:val="20"/>
                <w:szCs w:val="20"/>
                <w:vertAlign w:val="subscript"/>
              </w:rPr>
              <w:t>4</w:t>
            </w:r>
          </w:p>
        </w:tc>
        <w:tc>
          <w:tcPr>
            <w:tcW w:w="839" w:type="dxa"/>
            <w:tcBorders>
              <w:top w:val="single" w:sz="4" w:space="0" w:color="auto"/>
            </w:tcBorders>
          </w:tcPr>
          <w:p w14:paraId="64C170EE" w14:textId="77777777" w:rsidR="00790AF6" w:rsidRPr="00D076AF" w:rsidRDefault="00790AF6" w:rsidP="001B6F54">
            <w:pPr>
              <w:spacing w:before="40" w:after="60"/>
              <w:jc w:val="right"/>
              <w:rPr>
                <w:sz w:val="20"/>
                <w:szCs w:val="20"/>
              </w:rPr>
            </w:pPr>
            <w:r>
              <w:rPr>
                <w:sz w:val="20"/>
                <w:szCs w:val="20"/>
              </w:rPr>
              <w:t>8.</w:t>
            </w:r>
            <w:r w:rsidRPr="00D076AF">
              <w:rPr>
                <w:sz w:val="20"/>
                <w:szCs w:val="20"/>
              </w:rPr>
              <w:t>31</w:t>
            </w:r>
          </w:p>
        </w:tc>
        <w:tc>
          <w:tcPr>
            <w:tcW w:w="862" w:type="dxa"/>
            <w:tcBorders>
              <w:top w:val="single" w:sz="4" w:space="0" w:color="auto"/>
            </w:tcBorders>
          </w:tcPr>
          <w:p w14:paraId="6C164010" w14:textId="77777777" w:rsidR="00790AF6" w:rsidRPr="00D076AF" w:rsidRDefault="00790AF6" w:rsidP="001B6F54">
            <w:pPr>
              <w:spacing w:before="40" w:after="60"/>
              <w:jc w:val="right"/>
              <w:rPr>
                <w:sz w:val="20"/>
                <w:szCs w:val="20"/>
              </w:rPr>
            </w:pPr>
            <w:r>
              <w:rPr>
                <w:sz w:val="20"/>
                <w:szCs w:val="20"/>
              </w:rPr>
              <w:t>54.</w:t>
            </w:r>
            <w:r w:rsidRPr="00D076AF">
              <w:rPr>
                <w:sz w:val="20"/>
                <w:szCs w:val="20"/>
              </w:rPr>
              <w:t>93</w:t>
            </w:r>
          </w:p>
        </w:tc>
        <w:tc>
          <w:tcPr>
            <w:tcW w:w="1101" w:type="dxa"/>
            <w:tcBorders>
              <w:top w:val="single" w:sz="4" w:space="0" w:color="auto"/>
            </w:tcBorders>
          </w:tcPr>
          <w:p w14:paraId="2CA48B58" w14:textId="77777777" w:rsidR="00790AF6" w:rsidRPr="00D076AF" w:rsidRDefault="00790AF6" w:rsidP="001B6F54">
            <w:pPr>
              <w:spacing w:before="40" w:after="60"/>
              <w:jc w:val="right"/>
              <w:rPr>
                <w:sz w:val="20"/>
                <w:szCs w:val="20"/>
              </w:rPr>
            </w:pPr>
            <w:r w:rsidRPr="00D076AF">
              <w:rPr>
                <w:sz w:val="20"/>
                <w:szCs w:val="20"/>
              </w:rPr>
              <w:t>12</w:t>
            </w:r>
          </w:p>
        </w:tc>
        <w:tc>
          <w:tcPr>
            <w:tcW w:w="1133" w:type="dxa"/>
            <w:tcBorders>
              <w:top w:val="single" w:sz="4" w:space="0" w:color="auto"/>
            </w:tcBorders>
          </w:tcPr>
          <w:p w14:paraId="3F82673E" w14:textId="77777777" w:rsidR="00790AF6" w:rsidRPr="00D076AF" w:rsidRDefault="00790AF6" w:rsidP="001B6F54">
            <w:pPr>
              <w:spacing w:before="40" w:after="60"/>
              <w:jc w:val="right"/>
              <w:rPr>
                <w:sz w:val="20"/>
                <w:szCs w:val="20"/>
              </w:rPr>
            </w:pPr>
            <w:r>
              <w:rPr>
                <w:sz w:val="20"/>
                <w:szCs w:val="20"/>
              </w:rPr>
              <w:t>Coast</w:t>
            </w:r>
          </w:p>
        </w:tc>
      </w:tr>
      <w:tr w:rsidR="00821C26" w:rsidRPr="00D076AF" w14:paraId="049534C5" w14:textId="77777777" w:rsidTr="00821C26">
        <w:tc>
          <w:tcPr>
            <w:tcW w:w="1381" w:type="dxa"/>
          </w:tcPr>
          <w:p w14:paraId="348A7B63" w14:textId="77777777" w:rsidR="00790AF6" w:rsidRPr="00D076AF" w:rsidRDefault="00790AF6" w:rsidP="001B6F54">
            <w:pPr>
              <w:spacing w:before="40" w:after="60"/>
              <w:rPr>
                <w:sz w:val="20"/>
                <w:szCs w:val="20"/>
              </w:rPr>
            </w:pPr>
            <w:r w:rsidRPr="00D076AF">
              <w:rPr>
                <w:sz w:val="20"/>
                <w:szCs w:val="20"/>
              </w:rPr>
              <w:t>DE0002R</w:t>
            </w:r>
          </w:p>
        </w:tc>
        <w:tc>
          <w:tcPr>
            <w:tcW w:w="1421" w:type="dxa"/>
          </w:tcPr>
          <w:p w14:paraId="3FAC44CE" w14:textId="77777777" w:rsidR="00790AF6" w:rsidRPr="00D076AF" w:rsidRDefault="00790AF6" w:rsidP="001B6F54">
            <w:pPr>
              <w:spacing w:before="40" w:after="60"/>
              <w:rPr>
                <w:sz w:val="20"/>
                <w:szCs w:val="20"/>
              </w:rPr>
            </w:pPr>
            <w:r w:rsidRPr="00D076AF">
              <w:rPr>
                <w:sz w:val="20"/>
                <w:szCs w:val="20"/>
              </w:rPr>
              <w:t>Waldhof</w:t>
            </w:r>
          </w:p>
        </w:tc>
        <w:tc>
          <w:tcPr>
            <w:tcW w:w="2551" w:type="dxa"/>
          </w:tcPr>
          <w:p w14:paraId="4ED86362" w14:textId="77777777" w:rsidR="00790AF6" w:rsidRPr="00D076AF" w:rsidRDefault="00790AF6" w:rsidP="001B6F54">
            <w:pPr>
              <w:spacing w:before="40" w:after="60"/>
              <w:rPr>
                <w:sz w:val="20"/>
                <w:szCs w:val="20"/>
              </w:rPr>
            </w:pPr>
            <w:r>
              <w:rPr>
                <w:sz w:val="20"/>
                <w:szCs w:val="20"/>
              </w:rPr>
              <w:t>Na</w:t>
            </w:r>
            <w:r w:rsidRPr="00790AF6">
              <w:rPr>
                <w:sz w:val="20"/>
                <w:szCs w:val="20"/>
                <w:vertAlign w:val="superscript"/>
              </w:rPr>
              <w:t>+</w:t>
            </w:r>
            <w:r>
              <w:rPr>
                <w:sz w:val="20"/>
                <w:szCs w:val="20"/>
              </w:rPr>
              <w:t xml:space="preserve">, </w:t>
            </w:r>
            <w:r w:rsidR="00821C26">
              <w:rPr>
                <w:sz w:val="20"/>
                <w:szCs w:val="20"/>
              </w:rPr>
              <w:t>(</w:t>
            </w:r>
            <w:r>
              <w:rPr>
                <w:sz w:val="20"/>
                <w:szCs w:val="20"/>
              </w:rPr>
              <w:t>NO</w:t>
            </w:r>
            <w:r w:rsidRPr="00790AF6">
              <w:rPr>
                <w:sz w:val="20"/>
                <w:szCs w:val="20"/>
                <w:vertAlign w:val="subscript"/>
              </w:rPr>
              <w:t>3</w:t>
            </w:r>
            <w:r w:rsidRPr="00790AF6">
              <w:rPr>
                <w:sz w:val="20"/>
                <w:szCs w:val="20"/>
                <w:vertAlign w:val="superscript"/>
              </w:rPr>
              <w:t>-</w:t>
            </w:r>
            <w:r>
              <w:rPr>
                <w:sz w:val="20"/>
                <w:szCs w:val="20"/>
              </w:rPr>
              <w:t>,</w:t>
            </w:r>
            <w:r w:rsidR="00821C26">
              <w:rPr>
                <w:sz w:val="20"/>
                <w:szCs w:val="20"/>
              </w:rPr>
              <w:t>)</w:t>
            </w:r>
            <w:r>
              <w:rPr>
                <w:sz w:val="20"/>
                <w:szCs w:val="20"/>
              </w:rPr>
              <w:t xml:space="preserve">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5E698A8E" w14:textId="77777777" w:rsidR="00790AF6" w:rsidRPr="00D076AF" w:rsidRDefault="00790AF6" w:rsidP="001B6F54">
            <w:pPr>
              <w:spacing w:before="40" w:after="60"/>
              <w:jc w:val="right"/>
              <w:rPr>
                <w:sz w:val="20"/>
                <w:szCs w:val="20"/>
              </w:rPr>
            </w:pPr>
            <w:r>
              <w:rPr>
                <w:sz w:val="20"/>
                <w:szCs w:val="20"/>
              </w:rPr>
              <w:t>10.</w:t>
            </w:r>
            <w:r w:rsidRPr="00D076AF">
              <w:rPr>
                <w:sz w:val="20"/>
                <w:szCs w:val="20"/>
              </w:rPr>
              <w:t>76</w:t>
            </w:r>
          </w:p>
        </w:tc>
        <w:tc>
          <w:tcPr>
            <w:tcW w:w="862" w:type="dxa"/>
          </w:tcPr>
          <w:p w14:paraId="11F54F44" w14:textId="77777777" w:rsidR="00790AF6" w:rsidRPr="00D076AF" w:rsidRDefault="00790AF6" w:rsidP="001B6F54">
            <w:pPr>
              <w:spacing w:before="40" w:after="60"/>
              <w:jc w:val="right"/>
              <w:rPr>
                <w:sz w:val="20"/>
                <w:szCs w:val="20"/>
              </w:rPr>
            </w:pPr>
            <w:r>
              <w:rPr>
                <w:sz w:val="20"/>
                <w:szCs w:val="20"/>
              </w:rPr>
              <w:t>52.</w:t>
            </w:r>
            <w:r w:rsidRPr="00D076AF">
              <w:rPr>
                <w:sz w:val="20"/>
                <w:szCs w:val="20"/>
              </w:rPr>
              <w:t>80</w:t>
            </w:r>
          </w:p>
        </w:tc>
        <w:tc>
          <w:tcPr>
            <w:tcW w:w="1101" w:type="dxa"/>
          </w:tcPr>
          <w:p w14:paraId="0AEEA9D7" w14:textId="77777777" w:rsidR="00790AF6" w:rsidRPr="00D076AF" w:rsidRDefault="00790AF6" w:rsidP="001B6F54">
            <w:pPr>
              <w:spacing w:before="40" w:after="60"/>
              <w:jc w:val="right"/>
              <w:rPr>
                <w:sz w:val="20"/>
                <w:szCs w:val="20"/>
              </w:rPr>
            </w:pPr>
            <w:r w:rsidRPr="00D076AF">
              <w:rPr>
                <w:sz w:val="20"/>
                <w:szCs w:val="20"/>
              </w:rPr>
              <w:t>74</w:t>
            </w:r>
          </w:p>
        </w:tc>
        <w:tc>
          <w:tcPr>
            <w:tcW w:w="1133" w:type="dxa"/>
          </w:tcPr>
          <w:p w14:paraId="00F6512F" w14:textId="77777777" w:rsidR="00790AF6" w:rsidRPr="00D076AF" w:rsidRDefault="00790AF6" w:rsidP="001B6F54">
            <w:pPr>
              <w:spacing w:before="40" w:after="60"/>
              <w:jc w:val="right"/>
              <w:rPr>
                <w:sz w:val="20"/>
                <w:szCs w:val="20"/>
              </w:rPr>
            </w:pPr>
            <w:r>
              <w:rPr>
                <w:sz w:val="20"/>
                <w:szCs w:val="20"/>
              </w:rPr>
              <w:t>Inland</w:t>
            </w:r>
          </w:p>
        </w:tc>
      </w:tr>
      <w:tr w:rsidR="00821C26" w:rsidRPr="00D076AF" w14:paraId="642169D7" w14:textId="77777777" w:rsidTr="00821C26">
        <w:tc>
          <w:tcPr>
            <w:tcW w:w="1381" w:type="dxa"/>
          </w:tcPr>
          <w:p w14:paraId="6B1621FC" w14:textId="77777777" w:rsidR="00790AF6" w:rsidRPr="00D076AF" w:rsidRDefault="00790AF6" w:rsidP="001B6F54">
            <w:pPr>
              <w:spacing w:before="40" w:after="60"/>
              <w:rPr>
                <w:sz w:val="20"/>
                <w:szCs w:val="20"/>
              </w:rPr>
            </w:pPr>
            <w:r w:rsidRPr="00D076AF">
              <w:rPr>
                <w:sz w:val="20"/>
                <w:szCs w:val="20"/>
              </w:rPr>
              <w:t>DE0007R</w:t>
            </w:r>
          </w:p>
        </w:tc>
        <w:tc>
          <w:tcPr>
            <w:tcW w:w="1421" w:type="dxa"/>
          </w:tcPr>
          <w:p w14:paraId="4B22C3A1" w14:textId="77777777" w:rsidR="00790AF6" w:rsidRPr="00D076AF" w:rsidRDefault="00790AF6" w:rsidP="001B6F54">
            <w:pPr>
              <w:spacing w:before="40" w:after="60"/>
              <w:rPr>
                <w:sz w:val="20"/>
                <w:szCs w:val="20"/>
              </w:rPr>
            </w:pPr>
            <w:r w:rsidRPr="00D076AF">
              <w:rPr>
                <w:sz w:val="20"/>
                <w:szCs w:val="20"/>
              </w:rPr>
              <w:t>Neuglobsow</w:t>
            </w:r>
          </w:p>
        </w:tc>
        <w:tc>
          <w:tcPr>
            <w:tcW w:w="2551" w:type="dxa"/>
          </w:tcPr>
          <w:p w14:paraId="0FB7D47A" w14:textId="77777777" w:rsidR="00790AF6" w:rsidRPr="00D076AF" w:rsidRDefault="00790AF6" w:rsidP="001B6F54">
            <w:pPr>
              <w:spacing w:before="40" w:after="60"/>
              <w:rPr>
                <w:sz w:val="20"/>
                <w:szCs w:val="20"/>
              </w:rPr>
            </w:pPr>
            <w:r>
              <w:rPr>
                <w:sz w:val="20"/>
                <w:szCs w:val="20"/>
              </w:rPr>
              <w:t>Na</w:t>
            </w:r>
            <w:r w:rsidRPr="00790AF6">
              <w:rPr>
                <w:sz w:val="20"/>
                <w:szCs w:val="20"/>
                <w:vertAlign w:val="superscript"/>
              </w:rPr>
              <w:t>+</w:t>
            </w:r>
            <w:r>
              <w:rPr>
                <w:sz w:val="20"/>
                <w:szCs w:val="20"/>
              </w:rPr>
              <w:t xml:space="preserve">, </w:t>
            </w:r>
            <w:r w:rsidR="00821C26">
              <w:rPr>
                <w:sz w:val="20"/>
                <w:szCs w:val="20"/>
              </w:rPr>
              <w:t>(</w:t>
            </w:r>
            <w:r>
              <w:rPr>
                <w:sz w:val="20"/>
                <w:szCs w:val="20"/>
              </w:rPr>
              <w:t>NO</w:t>
            </w:r>
            <w:r w:rsidRPr="00790AF6">
              <w:rPr>
                <w:sz w:val="20"/>
                <w:szCs w:val="20"/>
                <w:vertAlign w:val="subscript"/>
              </w:rPr>
              <w:t>3</w:t>
            </w:r>
            <w:r w:rsidRPr="00790AF6">
              <w:rPr>
                <w:sz w:val="20"/>
                <w:szCs w:val="20"/>
                <w:vertAlign w:val="superscript"/>
              </w:rPr>
              <w:t>-</w:t>
            </w:r>
            <w:r>
              <w:rPr>
                <w:sz w:val="20"/>
                <w:szCs w:val="20"/>
              </w:rPr>
              <w:t>,</w:t>
            </w:r>
            <w:r w:rsidR="00821C26">
              <w:rPr>
                <w:sz w:val="20"/>
                <w:szCs w:val="20"/>
              </w:rPr>
              <w:t>)</w:t>
            </w:r>
            <w:r>
              <w:rPr>
                <w:sz w:val="20"/>
                <w:szCs w:val="20"/>
              </w:rPr>
              <w:t xml:space="preserve">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1A5F0FC2" w14:textId="77777777" w:rsidR="00790AF6" w:rsidRPr="00D076AF" w:rsidRDefault="00790AF6" w:rsidP="001B6F54">
            <w:pPr>
              <w:spacing w:before="40" w:after="60"/>
              <w:jc w:val="right"/>
              <w:rPr>
                <w:sz w:val="20"/>
                <w:szCs w:val="20"/>
              </w:rPr>
            </w:pPr>
            <w:r>
              <w:rPr>
                <w:sz w:val="20"/>
                <w:szCs w:val="20"/>
              </w:rPr>
              <w:t>13.</w:t>
            </w:r>
            <w:r w:rsidRPr="00D076AF">
              <w:rPr>
                <w:sz w:val="20"/>
                <w:szCs w:val="20"/>
              </w:rPr>
              <w:t>03</w:t>
            </w:r>
          </w:p>
        </w:tc>
        <w:tc>
          <w:tcPr>
            <w:tcW w:w="862" w:type="dxa"/>
          </w:tcPr>
          <w:p w14:paraId="4BEC4B3C" w14:textId="77777777" w:rsidR="00790AF6" w:rsidRPr="00D076AF" w:rsidRDefault="00790AF6" w:rsidP="001B6F54">
            <w:pPr>
              <w:spacing w:before="40" w:after="60"/>
              <w:jc w:val="right"/>
              <w:rPr>
                <w:sz w:val="20"/>
                <w:szCs w:val="20"/>
              </w:rPr>
            </w:pPr>
            <w:r>
              <w:rPr>
                <w:sz w:val="20"/>
                <w:szCs w:val="20"/>
              </w:rPr>
              <w:t>53.</w:t>
            </w:r>
            <w:r w:rsidRPr="00D076AF">
              <w:rPr>
                <w:sz w:val="20"/>
                <w:szCs w:val="20"/>
              </w:rPr>
              <w:t>17</w:t>
            </w:r>
          </w:p>
        </w:tc>
        <w:tc>
          <w:tcPr>
            <w:tcW w:w="1101" w:type="dxa"/>
          </w:tcPr>
          <w:p w14:paraId="430F1AC2" w14:textId="77777777" w:rsidR="00790AF6" w:rsidRPr="00D076AF" w:rsidRDefault="00790AF6" w:rsidP="001B6F54">
            <w:pPr>
              <w:spacing w:before="40" w:after="60"/>
              <w:jc w:val="right"/>
              <w:rPr>
                <w:sz w:val="20"/>
                <w:szCs w:val="20"/>
              </w:rPr>
            </w:pPr>
            <w:r w:rsidRPr="00D076AF">
              <w:rPr>
                <w:sz w:val="20"/>
                <w:szCs w:val="20"/>
              </w:rPr>
              <w:t>62</w:t>
            </w:r>
          </w:p>
        </w:tc>
        <w:tc>
          <w:tcPr>
            <w:tcW w:w="1133" w:type="dxa"/>
          </w:tcPr>
          <w:p w14:paraId="358255C6" w14:textId="77777777" w:rsidR="00790AF6" w:rsidRPr="00D076AF" w:rsidRDefault="00790AF6" w:rsidP="001B6F54">
            <w:pPr>
              <w:spacing w:before="40" w:after="60"/>
              <w:jc w:val="right"/>
              <w:rPr>
                <w:sz w:val="20"/>
                <w:szCs w:val="20"/>
              </w:rPr>
            </w:pPr>
            <w:r>
              <w:rPr>
                <w:sz w:val="20"/>
                <w:szCs w:val="20"/>
              </w:rPr>
              <w:t>Inland</w:t>
            </w:r>
          </w:p>
        </w:tc>
      </w:tr>
      <w:tr w:rsidR="00821C26" w:rsidRPr="00D076AF" w14:paraId="22ECF1D8" w14:textId="77777777" w:rsidTr="00821C26">
        <w:tc>
          <w:tcPr>
            <w:tcW w:w="1381" w:type="dxa"/>
          </w:tcPr>
          <w:p w14:paraId="70E63FEF" w14:textId="77777777" w:rsidR="00790AF6" w:rsidRPr="00D076AF" w:rsidRDefault="00790AF6" w:rsidP="001B6F54">
            <w:pPr>
              <w:spacing w:before="40" w:after="60"/>
              <w:rPr>
                <w:sz w:val="20"/>
                <w:szCs w:val="20"/>
              </w:rPr>
            </w:pPr>
            <w:r w:rsidRPr="00D076AF">
              <w:rPr>
                <w:sz w:val="20"/>
                <w:szCs w:val="20"/>
              </w:rPr>
              <w:t>DE0009R</w:t>
            </w:r>
          </w:p>
        </w:tc>
        <w:tc>
          <w:tcPr>
            <w:tcW w:w="1421" w:type="dxa"/>
          </w:tcPr>
          <w:p w14:paraId="4C2FA411" w14:textId="77777777" w:rsidR="00790AF6" w:rsidRPr="00D076AF" w:rsidRDefault="00790AF6" w:rsidP="001B6F54">
            <w:pPr>
              <w:spacing w:before="40" w:after="60"/>
              <w:rPr>
                <w:sz w:val="20"/>
                <w:szCs w:val="20"/>
              </w:rPr>
            </w:pPr>
            <w:r w:rsidRPr="00D076AF">
              <w:rPr>
                <w:sz w:val="20"/>
                <w:szCs w:val="20"/>
              </w:rPr>
              <w:t>Zingst</w:t>
            </w:r>
          </w:p>
        </w:tc>
        <w:tc>
          <w:tcPr>
            <w:tcW w:w="2551" w:type="dxa"/>
          </w:tcPr>
          <w:p w14:paraId="5AB5FDE9" w14:textId="77777777" w:rsidR="00790AF6" w:rsidRPr="00D076AF" w:rsidRDefault="00790AF6" w:rsidP="001B6F54">
            <w:pPr>
              <w:spacing w:before="40" w:after="60"/>
              <w:rPr>
                <w:sz w:val="20"/>
                <w:szCs w:val="20"/>
              </w:rPr>
            </w:pPr>
            <w:r>
              <w:rPr>
                <w:sz w:val="20"/>
                <w:szCs w:val="20"/>
              </w:rPr>
              <w:t>Na</w:t>
            </w:r>
            <w:r w:rsidRPr="00790AF6">
              <w:rPr>
                <w:sz w:val="20"/>
                <w:szCs w:val="20"/>
                <w:vertAlign w:val="superscript"/>
              </w:rPr>
              <w:t>+</w:t>
            </w:r>
            <w:r>
              <w:rPr>
                <w:sz w:val="20"/>
                <w:szCs w:val="20"/>
              </w:rPr>
              <w:t xml:space="preserve">, </w:t>
            </w:r>
            <w:r w:rsidR="00821C26">
              <w:rPr>
                <w:sz w:val="20"/>
                <w:szCs w:val="20"/>
              </w:rPr>
              <w:t>(</w:t>
            </w:r>
            <w:r>
              <w:rPr>
                <w:sz w:val="20"/>
                <w:szCs w:val="20"/>
              </w:rPr>
              <w:t>NO</w:t>
            </w:r>
            <w:r w:rsidRPr="00790AF6">
              <w:rPr>
                <w:sz w:val="20"/>
                <w:szCs w:val="20"/>
                <w:vertAlign w:val="subscript"/>
              </w:rPr>
              <w:t>3</w:t>
            </w:r>
            <w:r w:rsidRPr="00790AF6">
              <w:rPr>
                <w:sz w:val="20"/>
                <w:szCs w:val="20"/>
                <w:vertAlign w:val="superscript"/>
              </w:rPr>
              <w:t>-</w:t>
            </w:r>
            <w:r>
              <w:rPr>
                <w:sz w:val="20"/>
                <w:szCs w:val="20"/>
              </w:rPr>
              <w:t>,</w:t>
            </w:r>
            <w:r w:rsidR="00821C26">
              <w:rPr>
                <w:sz w:val="20"/>
                <w:szCs w:val="20"/>
              </w:rPr>
              <w:t>)</w:t>
            </w:r>
            <w:r>
              <w:rPr>
                <w:sz w:val="20"/>
                <w:szCs w:val="20"/>
              </w:rPr>
              <w:t xml:space="preserve">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12DAB667" w14:textId="77777777" w:rsidR="00790AF6" w:rsidRPr="00D076AF" w:rsidRDefault="00790AF6" w:rsidP="001B6F54">
            <w:pPr>
              <w:spacing w:before="40" w:after="60"/>
              <w:jc w:val="right"/>
              <w:rPr>
                <w:sz w:val="20"/>
                <w:szCs w:val="20"/>
              </w:rPr>
            </w:pPr>
            <w:r>
              <w:rPr>
                <w:sz w:val="20"/>
                <w:szCs w:val="20"/>
              </w:rPr>
              <w:t>12.</w:t>
            </w:r>
            <w:r w:rsidRPr="00D076AF">
              <w:rPr>
                <w:sz w:val="20"/>
                <w:szCs w:val="20"/>
              </w:rPr>
              <w:t>73</w:t>
            </w:r>
          </w:p>
        </w:tc>
        <w:tc>
          <w:tcPr>
            <w:tcW w:w="862" w:type="dxa"/>
          </w:tcPr>
          <w:p w14:paraId="6B945054" w14:textId="77777777" w:rsidR="00790AF6" w:rsidRPr="00D076AF" w:rsidRDefault="00790AF6" w:rsidP="001B6F54">
            <w:pPr>
              <w:spacing w:before="40" w:after="60"/>
              <w:jc w:val="right"/>
              <w:rPr>
                <w:sz w:val="20"/>
                <w:szCs w:val="20"/>
              </w:rPr>
            </w:pPr>
            <w:r>
              <w:rPr>
                <w:sz w:val="20"/>
                <w:szCs w:val="20"/>
              </w:rPr>
              <w:t>54.</w:t>
            </w:r>
            <w:r w:rsidRPr="00D076AF">
              <w:rPr>
                <w:sz w:val="20"/>
                <w:szCs w:val="20"/>
              </w:rPr>
              <w:t>43</w:t>
            </w:r>
          </w:p>
        </w:tc>
        <w:tc>
          <w:tcPr>
            <w:tcW w:w="1101" w:type="dxa"/>
          </w:tcPr>
          <w:p w14:paraId="33DA8839" w14:textId="77777777" w:rsidR="00790AF6" w:rsidRPr="00D076AF" w:rsidRDefault="00790AF6" w:rsidP="001B6F54">
            <w:pPr>
              <w:spacing w:before="40" w:after="60"/>
              <w:jc w:val="right"/>
              <w:rPr>
                <w:sz w:val="20"/>
                <w:szCs w:val="20"/>
              </w:rPr>
            </w:pPr>
            <w:r w:rsidRPr="00D076AF">
              <w:rPr>
                <w:sz w:val="20"/>
                <w:szCs w:val="20"/>
              </w:rPr>
              <w:t>1</w:t>
            </w:r>
          </w:p>
        </w:tc>
        <w:tc>
          <w:tcPr>
            <w:tcW w:w="1133" w:type="dxa"/>
          </w:tcPr>
          <w:p w14:paraId="61A8C726" w14:textId="77777777" w:rsidR="00790AF6" w:rsidRPr="00D076AF" w:rsidRDefault="00790AF6" w:rsidP="001B6F54">
            <w:pPr>
              <w:spacing w:before="40" w:after="60"/>
              <w:jc w:val="right"/>
              <w:rPr>
                <w:sz w:val="20"/>
                <w:szCs w:val="20"/>
              </w:rPr>
            </w:pPr>
            <w:r>
              <w:rPr>
                <w:sz w:val="20"/>
                <w:szCs w:val="20"/>
              </w:rPr>
              <w:t>Coast</w:t>
            </w:r>
          </w:p>
        </w:tc>
      </w:tr>
      <w:tr w:rsidR="00821C26" w:rsidRPr="00D076AF" w14:paraId="4E763CB2" w14:textId="77777777" w:rsidTr="00821C26">
        <w:tc>
          <w:tcPr>
            <w:tcW w:w="1381" w:type="dxa"/>
          </w:tcPr>
          <w:p w14:paraId="7706BAAA" w14:textId="77777777" w:rsidR="00790AF6" w:rsidRPr="00D076AF" w:rsidRDefault="00790AF6" w:rsidP="001B6F54">
            <w:pPr>
              <w:spacing w:before="40" w:after="60"/>
              <w:rPr>
                <w:sz w:val="20"/>
                <w:szCs w:val="20"/>
              </w:rPr>
            </w:pPr>
            <w:r>
              <w:rPr>
                <w:sz w:val="20"/>
                <w:szCs w:val="20"/>
              </w:rPr>
              <w:t>DE0044R</w:t>
            </w:r>
          </w:p>
        </w:tc>
        <w:tc>
          <w:tcPr>
            <w:tcW w:w="1421" w:type="dxa"/>
          </w:tcPr>
          <w:p w14:paraId="58340BBC" w14:textId="77777777" w:rsidR="00790AF6" w:rsidRPr="00D076AF" w:rsidRDefault="00790AF6" w:rsidP="001B6F54">
            <w:pPr>
              <w:spacing w:before="40" w:after="60"/>
              <w:rPr>
                <w:sz w:val="20"/>
                <w:szCs w:val="20"/>
              </w:rPr>
            </w:pPr>
            <w:r>
              <w:rPr>
                <w:sz w:val="20"/>
                <w:szCs w:val="20"/>
              </w:rPr>
              <w:t>Melpitz</w:t>
            </w:r>
          </w:p>
        </w:tc>
        <w:tc>
          <w:tcPr>
            <w:tcW w:w="2551" w:type="dxa"/>
          </w:tcPr>
          <w:p w14:paraId="5FB30E6D" w14:textId="77777777" w:rsidR="00790AF6" w:rsidRPr="00D076AF" w:rsidRDefault="00790AF6" w:rsidP="00790AF6">
            <w:pPr>
              <w:spacing w:before="40" w:after="60"/>
              <w:rPr>
                <w:sz w:val="20"/>
                <w:szCs w:val="20"/>
              </w:rPr>
            </w:pPr>
            <w:r>
              <w:rPr>
                <w:sz w:val="20"/>
                <w:szCs w:val="20"/>
              </w:rPr>
              <w:t>Na</w:t>
            </w:r>
            <w:r w:rsidRPr="00790AF6">
              <w:rPr>
                <w:sz w:val="20"/>
                <w:szCs w:val="20"/>
                <w:vertAlign w:val="superscript"/>
              </w:rPr>
              <w:t>+</w:t>
            </w:r>
            <w:r>
              <w:rPr>
                <w:sz w:val="20"/>
                <w:szCs w:val="20"/>
              </w:rPr>
              <w:t>, NO</w:t>
            </w:r>
            <w:r w:rsidRPr="00790AF6">
              <w:rPr>
                <w:sz w:val="20"/>
                <w:szCs w:val="20"/>
                <w:vertAlign w:val="subscript"/>
              </w:rPr>
              <w:t>3</w:t>
            </w:r>
            <w:r w:rsidRPr="00790AF6">
              <w:rPr>
                <w:sz w:val="20"/>
                <w:szCs w:val="20"/>
                <w:vertAlign w:val="superscript"/>
              </w:rPr>
              <w:t>-</w:t>
            </w:r>
          </w:p>
        </w:tc>
        <w:tc>
          <w:tcPr>
            <w:tcW w:w="839" w:type="dxa"/>
          </w:tcPr>
          <w:p w14:paraId="733D5159" w14:textId="77777777" w:rsidR="00790AF6" w:rsidRPr="00D076AF" w:rsidRDefault="00821C26" w:rsidP="001B6F54">
            <w:pPr>
              <w:spacing w:before="40" w:after="60"/>
              <w:jc w:val="right"/>
              <w:rPr>
                <w:sz w:val="20"/>
                <w:szCs w:val="20"/>
              </w:rPr>
            </w:pPr>
            <w:r>
              <w:rPr>
                <w:sz w:val="20"/>
                <w:szCs w:val="20"/>
              </w:rPr>
              <w:t>12.93</w:t>
            </w:r>
          </w:p>
        </w:tc>
        <w:tc>
          <w:tcPr>
            <w:tcW w:w="862" w:type="dxa"/>
          </w:tcPr>
          <w:p w14:paraId="1266B6CD" w14:textId="77777777" w:rsidR="00790AF6" w:rsidRPr="00D076AF" w:rsidRDefault="00821C26" w:rsidP="001B6F54">
            <w:pPr>
              <w:spacing w:before="40" w:after="60"/>
              <w:jc w:val="right"/>
              <w:rPr>
                <w:sz w:val="20"/>
                <w:szCs w:val="20"/>
              </w:rPr>
            </w:pPr>
            <w:r>
              <w:rPr>
                <w:sz w:val="20"/>
                <w:szCs w:val="20"/>
              </w:rPr>
              <w:t>51.53</w:t>
            </w:r>
          </w:p>
        </w:tc>
        <w:tc>
          <w:tcPr>
            <w:tcW w:w="1101" w:type="dxa"/>
          </w:tcPr>
          <w:p w14:paraId="097F8681" w14:textId="77777777" w:rsidR="00790AF6" w:rsidRPr="00D076AF" w:rsidRDefault="00821C26" w:rsidP="001B6F54">
            <w:pPr>
              <w:spacing w:before="40" w:after="60"/>
              <w:jc w:val="right"/>
              <w:rPr>
                <w:sz w:val="20"/>
                <w:szCs w:val="20"/>
              </w:rPr>
            </w:pPr>
            <w:r>
              <w:rPr>
                <w:sz w:val="20"/>
                <w:szCs w:val="20"/>
              </w:rPr>
              <w:t>86</w:t>
            </w:r>
          </w:p>
        </w:tc>
        <w:tc>
          <w:tcPr>
            <w:tcW w:w="1133" w:type="dxa"/>
          </w:tcPr>
          <w:p w14:paraId="7C57C6E5" w14:textId="77777777" w:rsidR="00790AF6" w:rsidRPr="00D076AF" w:rsidRDefault="00790AF6" w:rsidP="001B6F54">
            <w:pPr>
              <w:spacing w:before="40" w:after="60"/>
              <w:jc w:val="right"/>
              <w:rPr>
                <w:sz w:val="20"/>
                <w:szCs w:val="20"/>
              </w:rPr>
            </w:pPr>
            <w:r>
              <w:rPr>
                <w:sz w:val="20"/>
                <w:szCs w:val="20"/>
              </w:rPr>
              <w:t>Inland</w:t>
            </w:r>
          </w:p>
        </w:tc>
      </w:tr>
      <w:tr w:rsidR="00821C26" w:rsidRPr="00D076AF" w14:paraId="0EB0CCFB" w14:textId="77777777" w:rsidTr="00821C26">
        <w:tc>
          <w:tcPr>
            <w:tcW w:w="1381" w:type="dxa"/>
          </w:tcPr>
          <w:p w14:paraId="29035C18" w14:textId="77777777" w:rsidR="00790AF6" w:rsidRPr="00D076AF" w:rsidRDefault="00790AF6" w:rsidP="001B6F54">
            <w:pPr>
              <w:spacing w:before="40" w:after="60"/>
              <w:rPr>
                <w:sz w:val="20"/>
                <w:szCs w:val="20"/>
              </w:rPr>
            </w:pPr>
            <w:r w:rsidRPr="00D076AF">
              <w:rPr>
                <w:sz w:val="20"/>
                <w:szCs w:val="20"/>
              </w:rPr>
              <w:t>DK0003R</w:t>
            </w:r>
          </w:p>
        </w:tc>
        <w:tc>
          <w:tcPr>
            <w:tcW w:w="1421" w:type="dxa"/>
          </w:tcPr>
          <w:p w14:paraId="00F0DFFC" w14:textId="77777777" w:rsidR="00790AF6" w:rsidRPr="00D076AF" w:rsidRDefault="00790AF6" w:rsidP="001B6F54">
            <w:pPr>
              <w:spacing w:before="40" w:after="60"/>
              <w:rPr>
                <w:sz w:val="20"/>
                <w:szCs w:val="20"/>
              </w:rPr>
            </w:pPr>
            <w:r w:rsidRPr="00D076AF">
              <w:rPr>
                <w:sz w:val="20"/>
                <w:szCs w:val="20"/>
              </w:rPr>
              <w:t>Tange</w:t>
            </w:r>
          </w:p>
        </w:tc>
        <w:tc>
          <w:tcPr>
            <w:tcW w:w="2551" w:type="dxa"/>
          </w:tcPr>
          <w:p w14:paraId="33CD832A" w14:textId="77777777" w:rsidR="00790AF6" w:rsidRPr="00D076AF" w:rsidRDefault="00790AF6" w:rsidP="00790AF6">
            <w:pPr>
              <w:spacing w:before="40" w:after="60"/>
              <w:rPr>
                <w:sz w:val="20"/>
                <w:szCs w:val="20"/>
              </w:rPr>
            </w:pPr>
            <w:r>
              <w:rPr>
                <w:sz w:val="20"/>
                <w:szCs w:val="20"/>
              </w:rPr>
              <w:t>Na</w:t>
            </w:r>
            <w:r w:rsidRPr="00790AF6">
              <w:rPr>
                <w:sz w:val="20"/>
                <w:szCs w:val="20"/>
                <w:vertAlign w:val="superscript"/>
              </w:rPr>
              <w:t>+</w:t>
            </w:r>
            <w:r>
              <w:rPr>
                <w:sz w:val="20"/>
                <w:szCs w:val="20"/>
              </w:rPr>
              <w:t>,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6E2DBA13" w14:textId="77777777" w:rsidR="00790AF6" w:rsidRPr="00D076AF" w:rsidRDefault="00790AF6" w:rsidP="001B6F54">
            <w:pPr>
              <w:spacing w:before="40" w:after="60"/>
              <w:jc w:val="right"/>
              <w:rPr>
                <w:sz w:val="20"/>
                <w:szCs w:val="20"/>
              </w:rPr>
            </w:pPr>
            <w:r>
              <w:rPr>
                <w:sz w:val="20"/>
                <w:szCs w:val="20"/>
              </w:rPr>
              <w:t>9.</w:t>
            </w:r>
            <w:r w:rsidRPr="00D076AF">
              <w:rPr>
                <w:sz w:val="20"/>
                <w:szCs w:val="20"/>
              </w:rPr>
              <w:t>60</w:t>
            </w:r>
          </w:p>
        </w:tc>
        <w:tc>
          <w:tcPr>
            <w:tcW w:w="862" w:type="dxa"/>
          </w:tcPr>
          <w:p w14:paraId="6B484BBF" w14:textId="77777777" w:rsidR="00790AF6" w:rsidRPr="00D076AF" w:rsidRDefault="00790AF6" w:rsidP="001B6F54">
            <w:pPr>
              <w:spacing w:before="40" w:after="60"/>
              <w:jc w:val="right"/>
              <w:rPr>
                <w:sz w:val="20"/>
                <w:szCs w:val="20"/>
              </w:rPr>
            </w:pPr>
            <w:r>
              <w:rPr>
                <w:sz w:val="20"/>
                <w:szCs w:val="20"/>
              </w:rPr>
              <w:t>56.</w:t>
            </w:r>
            <w:r w:rsidRPr="00D076AF">
              <w:rPr>
                <w:sz w:val="20"/>
                <w:szCs w:val="20"/>
              </w:rPr>
              <w:t>35</w:t>
            </w:r>
          </w:p>
        </w:tc>
        <w:tc>
          <w:tcPr>
            <w:tcW w:w="1101" w:type="dxa"/>
          </w:tcPr>
          <w:p w14:paraId="4F8EC2B7" w14:textId="77777777" w:rsidR="00790AF6" w:rsidRPr="00D076AF" w:rsidRDefault="00790AF6" w:rsidP="001B6F54">
            <w:pPr>
              <w:spacing w:before="40" w:after="60"/>
              <w:jc w:val="right"/>
              <w:rPr>
                <w:sz w:val="20"/>
                <w:szCs w:val="20"/>
              </w:rPr>
            </w:pPr>
            <w:r w:rsidRPr="00D076AF">
              <w:rPr>
                <w:sz w:val="20"/>
                <w:szCs w:val="20"/>
              </w:rPr>
              <w:t>13</w:t>
            </w:r>
          </w:p>
        </w:tc>
        <w:tc>
          <w:tcPr>
            <w:tcW w:w="1133" w:type="dxa"/>
          </w:tcPr>
          <w:p w14:paraId="32D0C8B6" w14:textId="77777777" w:rsidR="00790AF6" w:rsidRPr="00D076AF" w:rsidRDefault="00790AF6" w:rsidP="001B6F54">
            <w:pPr>
              <w:spacing w:before="40" w:after="60"/>
              <w:jc w:val="right"/>
              <w:rPr>
                <w:sz w:val="20"/>
                <w:szCs w:val="20"/>
              </w:rPr>
            </w:pPr>
            <w:r>
              <w:rPr>
                <w:sz w:val="20"/>
                <w:szCs w:val="20"/>
              </w:rPr>
              <w:t>Inland</w:t>
            </w:r>
          </w:p>
        </w:tc>
      </w:tr>
      <w:tr w:rsidR="00821C26" w:rsidRPr="00D076AF" w14:paraId="51B2CBDA" w14:textId="77777777" w:rsidTr="00821C26">
        <w:tc>
          <w:tcPr>
            <w:tcW w:w="1381" w:type="dxa"/>
          </w:tcPr>
          <w:p w14:paraId="2FB46B03" w14:textId="77777777" w:rsidR="00790AF6" w:rsidRPr="00D076AF" w:rsidRDefault="00790AF6" w:rsidP="001B6F54">
            <w:pPr>
              <w:spacing w:before="40" w:after="60"/>
              <w:rPr>
                <w:sz w:val="20"/>
                <w:szCs w:val="20"/>
              </w:rPr>
            </w:pPr>
            <w:r w:rsidRPr="00D076AF">
              <w:rPr>
                <w:sz w:val="20"/>
                <w:szCs w:val="20"/>
              </w:rPr>
              <w:t>DK0005R</w:t>
            </w:r>
          </w:p>
        </w:tc>
        <w:tc>
          <w:tcPr>
            <w:tcW w:w="1421" w:type="dxa"/>
          </w:tcPr>
          <w:p w14:paraId="377A23EA" w14:textId="77777777" w:rsidR="00790AF6" w:rsidRPr="00D076AF" w:rsidRDefault="00790AF6" w:rsidP="001B6F54">
            <w:pPr>
              <w:spacing w:before="40" w:after="60"/>
              <w:rPr>
                <w:sz w:val="20"/>
                <w:szCs w:val="20"/>
              </w:rPr>
            </w:pPr>
            <w:r w:rsidRPr="00D076AF">
              <w:rPr>
                <w:sz w:val="20"/>
                <w:szCs w:val="20"/>
              </w:rPr>
              <w:t>Keldsnor</w:t>
            </w:r>
          </w:p>
        </w:tc>
        <w:tc>
          <w:tcPr>
            <w:tcW w:w="2551" w:type="dxa"/>
          </w:tcPr>
          <w:p w14:paraId="63C088F8" w14:textId="77777777" w:rsidR="00790AF6" w:rsidRPr="00D076AF" w:rsidRDefault="00790AF6" w:rsidP="00790AF6">
            <w:pPr>
              <w:spacing w:before="40" w:after="60"/>
              <w:rPr>
                <w:sz w:val="20"/>
                <w:szCs w:val="20"/>
              </w:rPr>
            </w:pPr>
            <w:r>
              <w:rPr>
                <w:sz w:val="20"/>
                <w:szCs w:val="20"/>
              </w:rPr>
              <w:t>Na</w:t>
            </w:r>
            <w:r w:rsidRPr="00790AF6">
              <w:rPr>
                <w:sz w:val="20"/>
                <w:szCs w:val="20"/>
                <w:vertAlign w:val="superscript"/>
              </w:rPr>
              <w:t>+</w:t>
            </w:r>
            <w:r>
              <w:rPr>
                <w:sz w:val="20"/>
                <w:szCs w:val="20"/>
              </w:rPr>
              <w:t>,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6C537E70" w14:textId="77777777" w:rsidR="00790AF6" w:rsidRPr="00D076AF" w:rsidRDefault="00790AF6" w:rsidP="001B6F54">
            <w:pPr>
              <w:spacing w:before="40" w:after="60"/>
              <w:jc w:val="right"/>
              <w:rPr>
                <w:sz w:val="20"/>
                <w:szCs w:val="20"/>
              </w:rPr>
            </w:pPr>
            <w:r>
              <w:rPr>
                <w:sz w:val="20"/>
                <w:szCs w:val="20"/>
              </w:rPr>
              <w:t>10.</w:t>
            </w:r>
            <w:r w:rsidRPr="00D076AF">
              <w:rPr>
                <w:sz w:val="20"/>
                <w:szCs w:val="20"/>
              </w:rPr>
              <w:t>73</w:t>
            </w:r>
          </w:p>
        </w:tc>
        <w:tc>
          <w:tcPr>
            <w:tcW w:w="862" w:type="dxa"/>
          </w:tcPr>
          <w:p w14:paraId="5A26818D" w14:textId="77777777" w:rsidR="00790AF6" w:rsidRPr="00D076AF" w:rsidRDefault="00790AF6" w:rsidP="001B6F54">
            <w:pPr>
              <w:spacing w:before="40" w:after="60"/>
              <w:jc w:val="right"/>
              <w:rPr>
                <w:sz w:val="20"/>
                <w:szCs w:val="20"/>
              </w:rPr>
            </w:pPr>
            <w:r>
              <w:rPr>
                <w:sz w:val="20"/>
                <w:szCs w:val="20"/>
              </w:rPr>
              <w:t>54.</w:t>
            </w:r>
            <w:r w:rsidRPr="00D076AF">
              <w:rPr>
                <w:sz w:val="20"/>
                <w:szCs w:val="20"/>
              </w:rPr>
              <w:t>73</w:t>
            </w:r>
          </w:p>
        </w:tc>
        <w:tc>
          <w:tcPr>
            <w:tcW w:w="1101" w:type="dxa"/>
          </w:tcPr>
          <w:p w14:paraId="1244E999" w14:textId="77777777" w:rsidR="00790AF6" w:rsidRPr="00D076AF" w:rsidRDefault="00790AF6" w:rsidP="001B6F54">
            <w:pPr>
              <w:spacing w:before="40" w:after="60"/>
              <w:jc w:val="right"/>
              <w:rPr>
                <w:sz w:val="20"/>
                <w:szCs w:val="20"/>
              </w:rPr>
            </w:pPr>
            <w:r w:rsidRPr="00D076AF">
              <w:rPr>
                <w:sz w:val="20"/>
                <w:szCs w:val="20"/>
              </w:rPr>
              <w:t>10</w:t>
            </w:r>
          </w:p>
        </w:tc>
        <w:tc>
          <w:tcPr>
            <w:tcW w:w="1133" w:type="dxa"/>
          </w:tcPr>
          <w:p w14:paraId="78C25138" w14:textId="77777777" w:rsidR="00790AF6" w:rsidRPr="00D076AF" w:rsidRDefault="00790AF6" w:rsidP="001B6F54">
            <w:pPr>
              <w:spacing w:before="40" w:after="60"/>
              <w:jc w:val="right"/>
              <w:rPr>
                <w:sz w:val="20"/>
                <w:szCs w:val="20"/>
              </w:rPr>
            </w:pPr>
            <w:r>
              <w:rPr>
                <w:sz w:val="20"/>
                <w:szCs w:val="20"/>
              </w:rPr>
              <w:t>Coast</w:t>
            </w:r>
          </w:p>
        </w:tc>
      </w:tr>
      <w:tr w:rsidR="00821C26" w:rsidRPr="00D076AF" w14:paraId="0D7621C3" w14:textId="77777777" w:rsidTr="00821C26">
        <w:tc>
          <w:tcPr>
            <w:tcW w:w="1381" w:type="dxa"/>
          </w:tcPr>
          <w:p w14:paraId="5343436F" w14:textId="77777777" w:rsidR="00790AF6" w:rsidRPr="00D076AF" w:rsidRDefault="00790AF6" w:rsidP="001B6F54">
            <w:pPr>
              <w:spacing w:before="40" w:after="60"/>
              <w:rPr>
                <w:sz w:val="20"/>
                <w:szCs w:val="20"/>
              </w:rPr>
            </w:pPr>
            <w:r w:rsidRPr="00D076AF">
              <w:rPr>
                <w:sz w:val="20"/>
                <w:szCs w:val="20"/>
              </w:rPr>
              <w:t>DK0008R</w:t>
            </w:r>
          </w:p>
        </w:tc>
        <w:tc>
          <w:tcPr>
            <w:tcW w:w="1421" w:type="dxa"/>
          </w:tcPr>
          <w:p w14:paraId="567EDFFA" w14:textId="77777777" w:rsidR="00790AF6" w:rsidRPr="00D076AF" w:rsidRDefault="00790AF6" w:rsidP="001B6F54">
            <w:pPr>
              <w:spacing w:before="40" w:after="60"/>
              <w:rPr>
                <w:sz w:val="20"/>
                <w:szCs w:val="20"/>
              </w:rPr>
            </w:pPr>
            <w:r w:rsidRPr="00D076AF">
              <w:rPr>
                <w:sz w:val="20"/>
                <w:szCs w:val="20"/>
              </w:rPr>
              <w:t>Anholt</w:t>
            </w:r>
          </w:p>
        </w:tc>
        <w:tc>
          <w:tcPr>
            <w:tcW w:w="2551" w:type="dxa"/>
          </w:tcPr>
          <w:p w14:paraId="5C634DD0" w14:textId="77777777" w:rsidR="00790AF6" w:rsidRPr="00D076AF" w:rsidRDefault="00790AF6" w:rsidP="00790AF6">
            <w:pPr>
              <w:spacing w:before="40" w:after="60"/>
              <w:rPr>
                <w:sz w:val="20"/>
                <w:szCs w:val="20"/>
              </w:rPr>
            </w:pPr>
            <w:r>
              <w:rPr>
                <w:sz w:val="20"/>
                <w:szCs w:val="20"/>
              </w:rPr>
              <w:t>Na</w:t>
            </w:r>
            <w:r w:rsidRPr="00790AF6">
              <w:rPr>
                <w:sz w:val="20"/>
                <w:szCs w:val="20"/>
                <w:vertAlign w:val="superscript"/>
              </w:rPr>
              <w:t>+</w:t>
            </w:r>
            <w:r>
              <w:rPr>
                <w:sz w:val="20"/>
                <w:szCs w:val="20"/>
              </w:rPr>
              <w:t>,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68AD1627" w14:textId="77777777" w:rsidR="00790AF6" w:rsidRPr="00D076AF" w:rsidRDefault="00790AF6" w:rsidP="001B6F54">
            <w:pPr>
              <w:spacing w:before="40" w:after="60"/>
              <w:jc w:val="right"/>
              <w:rPr>
                <w:sz w:val="20"/>
                <w:szCs w:val="20"/>
              </w:rPr>
            </w:pPr>
            <w:r>
              <w:rPr>
                <w:sz w:val="20"/>
                <w:szCs w:val="20"/>
              </w:rPr>
              <w:t>11.</w:t>
            </w:r>
            <w:r w:rsidRPr="00D076AF">
              <w:rPr>
                <w:sz w:val="20"/>
                <w:szCs w:val="20"/>
              </w:rPr>
              <w:t>52</w:t>
            </w:r>
          </w:p>
        </w:tc>
        <w:tc>
          <w:tcPr>
            <w:tcW w:w="862" w:type="dxa"/>
          </w:tcPr>
          <w:p w14:paraId="5337BE18" w14:textId="77777777" w:rsidR="00790AF6" w:rsidRPr="00D076AF" w:rsidRDefault="00790AF6" w:rsidP="001B6F54">
            <w:pPr>
              <w:spacing w:before="40" w:after="60"/>
              <w:jc w:val="right"/>
              <w:rPr>
                <w:sz w:val="20"/>
                <w:szCs w:val="20"/>
              </w:rPr>
            </w:pPr>
            <w:r>
              <w:rPr>
                <w:sz w:val="20"/>
                <w:szCs w:val="20"/>
              </w:rPr>
              <w:t>56.</w:t>
            </w:r>
            <w:r w:rsidRPr="00D076AF">
              <w:rPr>
                <w:sz w:val="20"/>
                <w:szCs w:val="20"/>
              </w:rPr>
              <w:t>72</w:t>
            </w:r>
          </w:p>
        </w:tc>
        <w:tc>
          <w:tcPr>
            <w:tcW w:w="1101" w:type="dxa"/>
          </w:tcPr>
          <w:p w14:paraId="1C847616" w14:textId="77777777" w:rsidR="00790AF6" w:rsidRPr="00D076AF" w:rsidRDefault="00790AF6" w:rsidP="001B6F54">
            <w:pPr>
              <w:spacing w:before="40" w:after="60"/>
              <w:jc w:val="right"/>
              <w:rPr>
                <w:sz w:val="20"/>
                <w:szCs w:val="20"/>
              </w:rPr>
            </w:pPr>
            <w:r w:rsidRPr="00D076AF">
              <w:rPr>
                <w:sz w:val="20"/>
                <w:szCs w:val="20"/>
              </w:rPr>
              <w:t>40</w:t>
            </w:r>
          </w:p>
        </w:tc>
        <w:tc>
          <w:tcPr>
            <w:tcW w:w="1133" w:type="dxa"/>
          </w:tcPr>
          <w:p w14:paraId="20B2FBE4" w14:textId="77777777" w:rsidR="00790AF6" w:rsidRPr="00D076AF" w:rsidRDefault="00790AF6" w:rsidP="001B6F54">
            <w:pPr>
              <w:spacing w:before="40" w:after="60"/>
              <w:jc w:val="right"/>
              <w:rPr>
                <w:sz w:val="20"/>
                <w:szCs w:val="20"/>
              </w:rPr>
            </w:pPr>
            <w:r>
              <w:rPr>
                <w:sz w:val="20"/>
                <w:szCs w:val="20"/>
              </w:rPr>
              <w:t>Coast</w:t>
            </w:r>
          </w:p>
        </w:tc>
      </w:tr>
      <w:tr w:rsidR="00821C26" w:rsidRPr="00D076AF" w14:paraId="0DB2014A" w14:textId="77777777" w:rsidTr="00821C26">
        <w:tc>
          <w:tcPr>
            <w:tcW w:w="1381" w:type="dxa"/>
          </w:tcPr>
          <w:p w14:paraId="07F9F7B5" w14:textId="77777777" w:rsidR="00790AF6" w:rsidRPr="00D076AF" w:rsidRDefault="00790AF6" w:rsidP="001B6F54">
            <w:pPr>
              <w:spacing w:before="40" w:after="60"/>
              <w:rPr>
                <w:sz w:val="20"/>
                <w:szCs w:val="20"/>
              </w:rPr>
            </w:pPr>
            <w:r w:rsidRPr="00D076AF">
              <w:rPr>
                <w:sz w:val="20"/>
                <w:szCs w:val="20"/>
              </w:rPr>
              <w:t>DK0031R</w:t>
            </w:r>
          </w:p>
        </w:tc>
        <w:tc>
          <w:tcPr>
            <w:tcW w:w="1421" w:type="dxa"/>
          </w:tcPr>
          <w:p w14:paraId="1BA08145" w14:textId="77777777" w:rsidR="00790AF6" w:rsidRPr="00D076AF" w:rsidRDefault="00790AF6" w:rsidP="001B6F54">
            <w:pPr>
              <w:spacing w:before="40" w:after="60"/>
              <w:rPr>
                <w:sz w:val="20"/>
                <w:szCs w:val="20"/>
              </w:rPr>
            </w:pPr>
            <w:r w:rsidRPr="00D076AF">
              <w:rPr>
                <w:sz w:val="20"/>
                <w:szCs w:val="20"/>
              </w:rPr>
              <w:t>Ulborg</w:t>
            </w:r>
          </w:p>
        </w:tc>
        <w:tc>
          <w:tcPr>
            <w:tcW w:w="2551" w:type="dxa"/>
          </w:tcPr>
          <w:p w14:paraId="778BF57A" w14:textId="77777777" w:rsidR="00790AF6" w:rsidRPr="00D076AF" w:rsidRDefault="00790AF6" w:rsidP="00790AF6">
            <w:pPr>
              <w:spacing w:before="40" w:after="60"/>
              <w:rPr>
                <w:sz w:val="20"/>
                <w:szCs w:val="20"/>
              </w:rPr>
            </w:pPr>
            <w:r>
              <w:rPr>
                <w:sz w:val="20"/>
                <w:szCs w:val="20"/>
              </w:rPr>
              <w:t>Na</w:t>
            </w:r>
            <w:r w:rsidRPr="00790AF6">
              <w:rPr>
                <w:sz w:val="20"/>
                <w:szCs w:val="20"/>
                <w:vertAlign w:val="superscript"/>
              </w:rPr>
              <w:t>+</w:t>
            </w:r>
            <w:r>
              <w:rPr>
                <w:sz w:val="20"/>
                <w:szCs w:val="20"/>
              </w:rPr>
              <w:t>,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4F55391D" w14:textId="77777777" w:rsidR="00790AF6" w:rsidRPr="00D076AF" w:rsidRDefault="00790AF6" w:rsidP="001B6F54">
            <w:pPr>
              <w:spacing w:before="40" w:after="60"/>
              <w:jc w:val="right"/>
              <w:rPr>
                <w:sz w:val="20"/>
                <w:szCs w:val="20"/>
              </w:rPr>
            </w:pPr>
            <w:r>
              <w:rPr>
                <w:sz w:val="20"/>
                <w:szCs w:val="20"/>
              </w:rPr>
              <w:t>8.</w:t>
            </w:r>
            <w:r w:rsidRPr="00D076AF">
              <w:rPr>
                <w:sz w:val="20"/>
                <w:szCs w:val="20"/>
              </w:rPr>
              <w:t>43</w:t>
            </w:r>
          </w:p>
        </w:tc>
        <w:tc>
          <w:tcPr>
            <w:tcW w:w="862" w:type="dxa"/>
          </w:tcPr>
          <w:p w14:paraId="137CE7AD" w14:textId="77777777" w:rsidR="00790AF6" w:rsidRPr="00D076AF" w:rsidRDefault="00790AF6" w:rsidP="001B6F54">
            <w:pPr>
              <w:spacing w:before="40" w:after="60"/>
              <w:jc w:val="right"/>
              <w:rPr>
                <w:sz w:val="20"/>
                <w:szCs w:val="20"/>
              </w:rPr>
            </w:pPr>
            <w:r>
              <w:rPr>
                <w:sz w:val="20"/>
                <w:szCs w:val="20"/>
              </w:rPr>
              <w:t>56.</w:t>
            </w:r>
            <w:r w:rsidRPr="00D076AF">
              <w:rPr>
                <w:sz w:val="20"/>
                <w:szCs w:val="20"/>
              </w:rPr>
              <w:t>28</w:t>
            </w:r>
          </w:p>
        </w:tc>
        <w:tc>
          <w:tcPr>
            <w:tcW w:w="1101" w:type="dxa"/>
          </w:tcPr>
          <w:p w14:paraId="39D09F08" w14:textId="77777777" w:rsidR="00790AF6" w:rsidRPr="00D076AF" w:rsidRDefault="00790AF6" w:rsidP="001B6F54">
            <w:pPr>
              <w:spacing w:before="40" w:after="60"/>
              <w:jc w:val="right"/>
              <w:rPr>
                <w:sz w:val="20"/>
                <w:szCs w:val="20"/>
              </w:rPr>
            </w:pPr>
            <w:r w:rsidRPr="00D076AF">
              <w:rPr>
                <w:sz w:val="20"/>
                <w:szCs w:val="20"/>
              </w:rPr>
              <w:t>10</w:t>
            </w:r>
          </w:p>
        </w:tc>
        <w:tc>
          <w:tcPr>
            <w:tcW w:w="1133" w:type="dxa"/>
          </w:tcPr>
          <w:p w14:paraId="1371BED1" w14:textId="77777777" w:rsidR="00790AF6" w:rsidRPr="00D076AF" w:rsidRDefault="00790AF6" w:rsidP="001B6F54">
            <w:pPr>
              <w:spacing w:before="40" w:after="60"/>
              <w:jc w:val="right"/>
              <w:rPr>
                <w:sz w:val="20"/>
                <w:szCs w:val="20"/>
              </w:rPr>
            </w:pPr>
            <w:r>
              <w:rPr>
                <w:sz w:val="20"/>
                <w:szCs w:val="20"/>
              </w:rPr>
              <w:t>Coast</w:t>
            </w:r>
          </w:p>
        </w:tc>
      </w:tr>
      <w:tr w:rsidR="00790AF6" w:rsidRPr="00D076AF" w14:paraId="519560F3" w14:textId="77777777" w:rsidTr="00821C26">
        <w:tc>
          <w:tcPr>
            <w:tcW w:w="1381" w:type="dxa"/>
          </w:tcPr>
          <w:p w14:paraId="00E8318E" w14:textId="77777777" w:rsidR="00790AF6" w:rsidRPr="00D076AF" w:rsidRDefault="00790AF6" w:rsidP="001B6F54">
            <w:pPr>
              <w:spacing w:before="40" w:after="60"/>
              <w:rPr>
                <w:sz w:val="20"/>
                <w:szCs w:val="20"/>
              </w:rPr>
            </w:pPr>
            <w:r>
              <w:rPr>
                <w:sz w:val="20"/>
                <w:szCs w:val="20"/>
              </w:rPr>
              <w:t>FI0009R</w:t>
            </w:r>
          </w:p>
        </w:tc>
        <w:tc>
          <w:tcPr>
            <w:tcW w:w="1421" w:type="dxa"/>
          </w:tcPr>
          <w:p w14:paraId="66C1B481" w14:textId="77777777" w:rsidR="00790AF6" w:rsidRPr="00790AF6" w:rsidRDefault="00790AF6" w:rsidP="001B6F54">
            <w:pPr>
              <w:spacing w:before="40" w:after="60"/>
              <w:rPr>
                <w:sz w:val="20"/>
                <w:szCs w:val="20"/>
                <w:lang w:val="en-US"/>
              </w:rPr>
            </w:pPr>
            <w:r>
              <w:rPr>
                <w:sz w:val="20"/>
                <w:szCs w:val="20"/>
              </w:rPr>
              <w:t>Utö</w:t>
            </w:r>
          </w:p>
        </w:tc>
        <w:tc>
          <w:tcPr>
            <w:tcW w:w="2551" w:type="dxa"/>
          </w:tcPr>
          <w:p w14:paraId="3036A13E" w14:textId="77777777" w:rsidR="00790AF6" w:rsidRPr="00D076AF" w:rsidRDefault="00790AF6" w:rsidP="00790AF6">
            <w:pPr>
              <w:spacing w:before="40" w:after="60"/>
              <w:rPr>
                <w:sz w:val="20"/>
                <w:szCs w:val="20"/>
              </w:rPr>
            </w:pPr>
            <w:r>
              <w:rPr>
                <w:sz w:val="20"/>
                <w:szCs w:val="20"/>
              </w:rPr>
              <w:t>Na</w:t>
            </w:r>
            <w:r w:rsidRPr="00790AF6">
              <w:rPr>
                <w:sz w:val="20"/>
                <w:szCs w:val="20"/>
                <w:vertAlign w:val="superscript"/>
              </w:rPr>
              <w:t>+</w:t>
            </w:r>
            <w:r>
              <w:rPr>
                <w:sz w:val="20"/>
                <w:szCs w:val="20"/>
              </w:rPr>
              <w:t>,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3AD48770" w14:textId="77777777" w:rsidR="00790AF6" w:rsidRPr="00D076AF" w:rsidRDefault="00790AF6" w:rsidP="001B6F54">
            <w:pPr>
              <w:spacing w:before="40" w:after="60"/>
              <w:jc w:val="right"/>
              <w:rPr>
                <w:sz w:val="20"/>
                <w:szCs w:val="20"/>
              </w:rPr>
            </w:pPr>
            <w:r>
              <w:rPr>
                <w:sz w:val="20"/>
                <w:szCs w:val="20"/>
              </w:rPr>
              <w:t>21.38</w:t>
            </w:r>
          </w:p>
        </w:tc>
        <w:tc>
          <w:tcPr>
            <w:tcW w:w="862" w:type="dxa"/>
          </w:tcPr>
          <w:p w14:paraId="065CAB35" w14:textId="77777777" w:rsidR="00790AF6" w:rsidRPr="00D076AF" w:rsidRDefault="00790AF6" w:rsidP="001B6F54">
            <w:pPr>
              <w:spacing w:before="40" w:after="60"/>
              <w:jc w:val="right"/>
              <w:rPr>
                <w:sz w:val="20"/>
                <w:szCs w:val="20"/>
              </w:rPr>
            </w:pPr>
            <w:r>
              <w:rPr>
                <w:sz w:val="20"/>
                <w:szCs w:val="20"/>
              </w:rPr>
              <w:t>59.78</w:t>
            </w:r>
          </w:p>
        </w:tc>
        <w:tc>
          <w:tcPr>
            <w:tcW w:w="1101" w:type="dxa"/>
          </w:tcPr>
          <w:p w14:paraId="2C20C9BA" w14:textId="77777777" w:rsidR="00790AF6" w:rsidRPr="00D076AF" w:rsidRDefault="00790AF6" w:rsidP="001B6F54">
            <w:pPr>
              <w:spacing w:before="40" w:after="60"/>
              <w:jc w:val="right"/>
              <w:rPr>
                <w:sz w:val="20"/>
                <w:szCs w:val="20"/>
              </w:rPr>
            </w:pPr>
            <w:r>
              <w:rPr>
                <w:sz w:val="20"/>
                <w:szCs w:val="20"/>
              </w:rPr>
              <w:t>7</w:t>
            </w:r>
          </w:p>
        </w:tc>
        <w:tc>
          <w:tcPr>
            <w:tcW w:w="1133" w:type="dxa"/>
          </w:tcPr>
          <w:p w14:paraId="00E7A443" w14:textId="77777777" w:rsidR="00790AF6" w:rsidRDefault="00790AF6" w:rsidP="001B6F54">
            <w:pPr>
              <w:spacing w:before="40" w:after="60"/>
              <w:jc w:val="right"/>
              <w:rPr>
                <w:sz w:val="20"/>
                <w:szCs w:val="20"/>
              </w:rPr>
            </w:pPr>
            <w:r>
              <w:rPr>
                <w:sz w:val="20"/>
                <w:szCs w:val="20"/>
              </w:rPr>
              <w:t>Coast</w:t>
            </w:r>
          </w:p>
        </w:tc>
      </w:tr>
      <w:tr w:rsidR="00790AF6" w:rsidRPr="00D076AF" w14:paraId="49F15C10" w14:textId="77777777" w:rsidTr="00821C26">
        <w:tc>
          <w:tcPr>
            <w:tcW w:w="1381" w:type="dxa"/>
          </w:tcPr>
          <w:p w14:paraId="6AB53679" w14:textId="77777777" w:rsidR="00790AF6" w:rsidRPr="00D076AF" w:rsidRDefault="00790AF6" w:rsidP="001B6F54">
            <w:pPr>
              <w:spacing w:before="40" w:after="60"/>
              <w:rPr>
                <w:sz w:val="20"/>
                <w:szCs w:val="20"/>
              </w:rPr>
            </w:pPr>
            <w:r>
              <w:rPr>
                <w:sz w:val="20"/>
                <w:szCs w:val="20"/>
              </w:rPr>
              <w:t>FI0017R</w:t>
            </w:r>
          </w:p>
        </w:tc>
        <w:tc>
          <w:tcPr>
            <w:tcW w:w="1421" w:type="dxa"/>
          </w:tcPr>
          <w:p w14:paraId="44F7B059" w14:textId="77777777" w:rsidR="00790AF6" w:rsidRPr="00D076AF" w:rsidRDefault="00790AF6" w:rsidP="001B6F54">
            <w:pPr>
              <w:spacing w:before="40" w:after="60"/>
              <w:rPr>
                <w:sz w:val="20"/>
                <w:szCs w:val="20"/>
              </w:rPr>
            </w:pPr>
            <w:r>
              <w:rPr>
                <w:sz w:val="20"/>
                <w:szCs w:val="20"/>
              </w:rPr>
              <w:t>Virolahti II</w:t>
            </w:r>
          </w:p>
        </w:tc>
        <w:tc>
          <w:tcPr>
            <w:tcW w:w="2551" w:type="dxa"/>
          </w:tcPr>
          <w:p w14:paraId="6D3531DA" w14:textId="77777777" w:rsidR="00790AF6" w:rsidRPr="00D076AF" w:rsidRDefault="00790AF6" w:rsidP="00790AF6">
            <w:pPr>
              <w:spacing w:before="40" w:after="60"/>
              <w:rPr>
                <w:sz w:val="20"/>
                <w:szCs w:val="20"/>
              </w:rPr>
            </w:pPr>
            <w:r>
              <w:rPr>
                <w:sz w:val="20"/>
                <w:szCs w:val="20"/>
              </w:rPr>
              <w:t>Na</w:t>
            </w:r>
            <w:r w:rsidRPr="00790AF6">
              <w:rPr>
                <w:sz w:val="20"/>
                <w:szCs w:val="20"/>
                <w:vertAlign w:val="superscript"/>
              </w:rPr>
              <w:t>+</w:t>
            </w:r>
            <w:r>
              <w:rPr>
                <w:sz w:val="20"/>
                <w:szCs w:val="20"/>
              </w:rPr>
              <w:t>,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2CC66B23" w14:textId="77777777" w:rsidR="00790AF6" w:rsidRPr="00D076AF" w:rsidRDefault="00790AF6" w:rsidP="001B6F54">
            <w:pPr>
              <w:spacing w:before="40" w:after="60"/>
              <w:jc w:val="right"/>
              <w:rPr>
                <w:sz w:val="20"/>
                <w:szCs w:val="20"/>
              </w:rPr>
            </w:pPr>
            <w:r>
              <w:rPr>
                <w:sz w:val="20"/>
                <w:szCs w:val="20"/>
              </w:rPr>
              <w:t>27.69</w:t>
            </w:r>
          </w:p>
        </w:tc>
        <w:tc>
          <w:tcPr>
            <w:tcW w:w="862" w:type="dxa"/>
          </w:tcPr>
          <w:p w14:paraId="5308E9C4" w14:textId="77777777" w:rsidR="00790AF6" w:rsidRPr="00D076AF" w:rsidRDefault="00790AF6" w:rsidP="001B6F54">
            <w:pPr>
              <w:spacing w:before="40" w:after="60"/>
              <w:jc w:val="right"/>
              <w:rPr>
                <w:sz w:val="20"/>
                <w:szCs w:val="20"/>
              </w:rPr>
            </w:pPr>
            <w:r>
              <w:rPr>
                <w:sz w:val="20"/>
                <w:szCs w:val="20"/>
              </w:rPr>
              <w:t>60.53</w:t>
            </w:r>
          </w:p>
        </w:tc>
        <w:tc>
          <w:tcPr>
            <w:tcW w:w="1101" w:type="dxa"/>
          </w:tcPr>
          <w:p w14:paraId="17FCEC0E" w14:textId="77777777" w:rsidR="00790AF6" w:rsidRPr="00D076AF" w:rsidRDefault="00790AF6" w:rsidP="001B6F54">
            <w:pPr>
              <w:spacing w:before="40" w:after="60"/>
              <w:jc w:val="right"/>
              <w:rPr>
                <w:sz w:val="20"/>
                <w:szCs w:val="20"/>
              </w:rPr>
            </w:pPr>
            <w:r>
              <w:rPr>
                <w:sz w:val="20"/>
                <w:szCs w:val="20"/>
              </w:rPr>
              <w:t>4</w:t>
            </w:r>
          </w:p>
        </w:tc>
        <w:tc>
          <w:tcPr>
            <w:tcW w:w="1133" w:type="dxa"/>
          </w:tcPr>
          <w:p w14:paraId="5CF8A57C" w14:textId="77777777" w:rsidR="00790AF6" w:rsidRDefault="00790AF6" w:rsidP="001B6F54">
            <w:pPr>
              <w:spacing w:before="40" w:after="60"/>
              <w:jc w:val="right"/>
              <w:rPr>
                <w:sz w:val="20"/>
                <w:szCs w:val="20"/>
              </w:rPr>
            </w:pPr>
            <w:r>
              <w:rPr>
                <w:sz w:val="20"/>
                <w:szCs w:val="20"/>
              </w:rPr>
              <w:t>Coast</w:t>
            </w:r>
          </w:p>
        </w:tc>
      </w:tr>
      <w:tr w:rsidR="00821C26" w:rsidRPr="00D076AF" w14:paraId="7E721C41" w14:textId="77777777" w:rsidTr="00821C26">
        <w:tc>
          <w:tcPr>
            <w:tcW w:w="1381" w:type="dxa"/>
          </w:tcPr>
          <w:p w14:paraId="4B65BFBB" w14:textId="77777777" w:rsidR="00790AF6" w:rsidRPr="00D076AF" w:rsidRDefault="00790AF6" w:rsidP="001B6F54">
            <w:pPr>
              <w:spacing w:before="40" w:after="60"/>
              <w:rPr>
                <w:sz w:val="20"/>
                <w:szCs w:val="20"/>
              </w:rPr>
            </w:pPr>
            <w:r w:rsidRPr="00D076AF">
              <w:rPr>
                <w:sz w:val="20"/>
                <w:szCs w:val="20"/>
              </w:rPr>
              <w:t>NO0001R</w:t>
            </w:r>
          </w:p>
        </w:tc>
        <w:tc>
          <w:tcPr>
            <w:tcW w:w="1421" w:type="dxa"/>
          </w:tcPr>
          <w:p w14:paraId="197954AF" w14:textId="77777777" w:rsidR="00790AF6" w:rsidRPr="00D076AF" w:rsidRDefault="00790AF6" w:rsidP="001B6F54">
            <w:pPr>
              <w:spacing w:before="40" w:after="60"/>
              <w:rPr>
                <w:sz w:val="20"/>
                <w:szCs w:val="20"/>
              </w:rPr>
            </w:pPr>
            <w:r w:rsidRPr="00D076AF">
              <w:rPr>
                <w:sz w:val="20"/>
                <w:szCs w:val="20"/>
              </w:rPr>
              <w:t>Birkenes</w:t>
            </w:r>
          </w:p>
        </w:tc>
        <w:tc>
          <w:tcPr>
            <w:tcW w:w="2551" w:type="dxa"/>
          </w:tcPr>
          <w:p w14:paraId="5EB278B1" w14:textId="77777777" w:rsidR="00790AF6" w:rsidRPr="00D076AF" w:rsidRDefault="00790AF6" w:rsidP="001B6F54">
            <w:pPr>
              <w:spacing w:before="40" w:after="60"/>
              <w:rPr>
                <w:sz w:val="20"/>
                <w:szCs w:val="20"/>
              </w:rPr>
            </w:pPr>
            <w:r>
              <w:rPr>
                <w:sz w:val="20"/>
                <w:szCs w:val="20"/>
              </w:rPr>
              <w:t>Na</w:t>
            </w:r>
            <w:r w:rsidRPr="00790AF6">
              <w:rPr>
                <w:sz w:val="20"/>
                <w:szCs w:val="20"/>
                <w:vertAlign w:val="superscript"/>
              </w:rPr>
              <w:t>+</w:t>
            </w:r>
            <w:r>
              <w:rPr>
                <w:sz w:val="20"/>
                <w:szCs w:val="20"/>
              </w:rPr>
              <w:t xml:space="preserve">, </w:t>
            </w:r>
            <w:r w:rsidR="00821C26">
              <w:rPr>
                <w:sz w:val="20"/>
                <w:szCs w:val="20"/>
              </w:rPr>
              <w:t>(</w:t>
            </w:r>
            <w:r>
              <w:rPr>
                <w:sz w:val="20"/>
                <w:szCs w:val="20"/>
              </w:rPr>
              <w:t>NO</w:t>
            </w:r>
            <w:r w:rsidRPr="00790AF6">
              <w:rPr>
                <w:sz w:val="20"/>
                <w:szCs w:val="20"/>
                <w:vertAlign w:val="subscript"/>
              </w:rPr>
              <w:t>3</w:t>
            </w:r>
            <w:r w:rsidRPr="00790AF6">
              <w:rPr>
                <w:sz w:val="20"/>
                <w:szCs w:val="20"/>
                <w:vertAlign w:val="superscript"/>
              </w:rPr>
              <w:t>-</w:t>
            </w:r>
            <w:r>
              <w:rPr>
                <w:sz w:val="20"/>
                <w:szCs w:val="20"/>
              </w:rPr>
              <w:t>,</w:t>
            </w:r>
            <w:r w:rsidR="00821C26">
              <w:rPr>
                <w:sz w:val="20"/>
                <w:szCs w:val="20"/>
              </w:rPr>
              <w:t>)</w:t>
            </w:r>
            <w:r>
              <w:rPr>
                <w:sz w:val="20"/>
                <w:szCs w:val="20"/>
              </w:rPr>
              <w:t xml:space="preserve">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7FCD0433" w14:textId="77777777" w:rsidR="00790AF6" w:rsidRPr="00D076AF" w:rsidRDefault="00790AF6" w:rsidP="001B6F54">
            <w:pPr>
              <w:spacing w:before="40" w:after="60"/>
              <w:jc w:val="right"/>
              <w:rPr>
                <w:sz w:val="20"/>
                <w:szCs w:val="20"/>
              </w:rPr>
            </w:pPr>
            <w:r>
              <w:rPr>
                <w:sz w:val="20"/>
                <w:szCs w:val="20"/>
              </w:rPr>
              <w:t>8.</w:t>
            </w:r>
            <w:r w:rsidRPr="00D076AF">
              <w:rPr>
                <w:sz w:val="20"/>
                <w:szCs w:val="20"/>
              </w:rPr>
              <w:t>25</w:t>
            </w:r>
          </w:p>
        </w:tc>
        <w:tc>
          <w:tcPr>
            <w:tcW w:w="862" w:type="dxa"/>
          </w:tcPr>
          <w:p w14:paraId="772719ED" w14:textId="77777777" w:rsidR="00790AF6" w:rsidRPr="00D076AF" w:rsidRDefault="00790AF6" w:rsidP="001B6F54">
            <w:pPr>
              <w:spacing w:before="40" w:after="60"/>
              <w:jc w:val="right"/>
              <w:rPr>
                <w:sz w:val="20"/>
                <w:szCs w:val="20"/>
              </w:rPr>
            </w:pPr>
            <w:r>
              <w:rPr>
                <w:sz w:val="20"/>
                <w:szCs w:val="20"/>
              </w:rPr>
              <w:t>58.</w:t>
            </w:r>
            <w:r w:rsidRPr="00D076AF">
              <w:rPr>
                <w:sz w:val="20"/>
                <w:szCs w:val="20"/>
              </w:rPr>
              <w:t>38</w:t>
            </w:r>
          </w:p>
        </w:tc>
        <w:tc>
          <w:tcPr>
            <w:tcW w:w="1101" w:type="dxa"/>
          </w:tcPr>
          <w:p w14:paraId="321A8D9D" w14:textId="77777777" w:rsidR="00790AF6" w:rsidRPr="00D076AF" w:rsidRDefault="00790AF6" w:rsidP="001B6F54">
            <w:pPr>
              <w:spacing w:before="40" w:after="60"/>
              <w:jc w:val="right"/>
              <w:rPr>
                <w:sz w:val="20"/>
                <w:szCs w:val="20"/>
              </w:rPr>
            </w:pPr>
            <w:r w:rsidRPr="00D076AF">
              <w:rPr>
                <w:sz w:val="20"/>
                <w:szCs w:val="20"/>
              </w:rPr>
              <w:t>190</w:t>
            </w:r>
          </w:p>
        </w:tc>
        <w:tc>
          <w:tcPr>
            <w:tcW w:w="1133" w:type="dxa"/>
          </w:tcPr>
          <w:p w14:paraId="3FB784E5" w14:textId="77777777" w:rsidR="00790AF6" w:rsidRPr="00D076AF" w:rsidRDefault="00790AF6" w:rsidP="001B6F54">
            <w:pPr>
              <w:spacing w:before="40" w:after="60"/>
              <w:jc w:val="right"/>
              <w:rPr>
                <w:sz w:val="20"/>
                <w:szCs w:val="20"/>
              </w:rPr>
            </w:pPr>
            <w:r>
              <w:rPr>
                <w:sz w:val="20"/>
                <w:szCs w:val="20"/>
              </w:rPr>
              <w:t>Mixed</w:t>
            </w:r>
          </w:p>
        </w:tc>
      </w:tr>
      <w:tr w:rsidR="00821C26" w:rsidRPr="00D076AF" w14:paraId="3DD4D512" w14:textId="77777777" w:rsidTr="00821C26">
        <w:tc>
          <w:tcPr>
            <w:tcW w:w="1381" w:type="dxa"/>
          </w:tcPr>
          <w:p w14:paraId="7AB2EC5C" w14:textId="77777777" w:rsidR="00790AF6" w:rsidRPr="00D076AF" w:rsidRDefault="00790AF6" w:rsidP="001B6F54">
            <w:pPr>
              <w:spacing w:before="40" w:after="60"/>
              <w:rPr>
                <w:sz w:val="20"/>
                <w:szCs w:val="20"/>
              </w:rPr>
            </w:pPr>
            <w:r w:rsidRPr="00D076AF">
              <w:rPr>
                <w:sz w:val="20"/>
                <w:szCs w:val="20"/>
              </w:rPr>
              <w:t>NO0056R</w:t>
            </w:r>
          </w:p>
        </w:tc>
        <w:tc>
          <w:tcPr>
            <w:tcW w:w="1421" w:type="dxa"/>
          </w:tcPr>
          <w:p w14:paraId="3D228447" w14:textId="77777777" w:rsidR="00790AF6" w:rsidRPr="00D076AF" w:rsidRDefault="00790AF6" w:rsidP="001B6F54">
            <w:pPr>
              <w:spacing w:before="40" w:after="60"/>
              <w:rPr>
                <w:sz w:val="20"/>
                <w:szCs w:val="20"/>
              </w:rPr>
            </w:pPr>
            <w:r w:rsidRPr="00D076AF">
              <w:rPr>
                <w:sz w:val="20"/>
                <w:szCs w:val="20"/>
              </w:rPr>
              <w:t>Hurdal</w:t>
            </w:r>
          </w:p>
        </w:tc>
        <w:tc>
          <w:tcPr>
            <w:tcW w:w="2551" w:type="dxa"/>
          </w:tcPr>
          <w:p w14:paraId="70395F32" w14:textId="77777777" w:rsidR="00790AF6" w:rsidRPr="00D076AF" w:rsidRDefault="00790AF6" w:rsidP="001B6F54">
            <w:pPr>
              <w:spacing w:before="40" w:after="60"/>
              <w:rPr>
                <w:sz w:val="20"/>
                <w:szCs w:val="20"/>
              </w:rPr>
            </w:pPr>
            <w:r>
              <w:rPr>
                <w:sz w:val="20"/>
                <w:szCs w:val="20"/>
              </w:rPr>
              <w:t>Na</w:t>
            </w:r>
            <w:r w:rsidRPr="00790AF6">
              <w:rPr>
                <w:sz w:val="20"/>
                <w:szCs w:val="20"/>
                <w:vertAlign w:val="superscript"/>
              </w:rPr>
              <w:t>+</w:t>
            </w:r>
            <w:r>
              <w:rPr>
                <w:sz w:val="20"/>
                <w:szCs w:val="20"/>
              </w:rPr>
              <w:t xml:space="preserve">, </w:t>
            </w:r>
            <w:r w:rsidR="00821C26">
              <w:rPr>
                <w:sz w:val="20"/>
                <w:szCs w:val="20"/>
              </w:rPr>
              <w:t>(</w:t>
            </w:r>
            <w:r>
              <w:rPr>
                <w:sz w:val="20"/>
                <w:szCs w:val="20"/>
              </w:rPr>
              <w:t>NO</w:t>
            </w:r>
            <w:r w:rsidRPr="00790AF6">
              <w:rPr>
                <w:sz w:val="20"/>
                <w:szCs w:val="20"/>
                <w:vertAlign w:val="subscript"/>
              </w:rPr>
              <w:t>3</w:t>
            </w:r>
            <w:r w:rsidRPr="00790AF6">
              <w:rPr>
                <w:sz w:val="20"/>
                <w:szCs w:val="20"/>
                <w:vertAlign w:val="superscript"/>
              </w:rPr>
              <w:t>-</w:t>
            </w:r>
            <w:r>
              <w:rPr>
                <w:sz w:val="20"/>
                <w:szCs w:val="20"/>
              </w:rPr>
              <w:t>,</w:t>
            </w:r>
            <w:r w:rsidR="00821C26">
              <w:rPr>
                <w:sz w:val="20"/>
                <w:szCs w:val="20"/>
              </w:rPr>
              <w:t>)</w:t>
            </w:r>
            <w:r>
              <w:rPr>
                <w:sz w:val="20"/>
                <w:szCs w:val="20"/>
              </w:rPr>
              <w:t xml:space="preserve">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64060556" w14:textId="77777777" w:rsidR="00790AF6" w:rsidRPr="00D076AF" w:rsidRDefault="00790AF6" w:rsidP="001B6F54">
            <w:pPr>
              <w:spacing w:before="40" w:after="60"/>
              <w:jc w:val="right"/>
              <w:rPr>
                <w:sz w:val="20"/>
                <w:szCs w:val="20"/>
              </w:rPr>
            </w:pPr>
            <w:r>
              <w:rPr>
                <w:sz w:val="20"/>
                <w:szCs w:val="20"/>
              </w:rPr>
              <w:t>11.</w:t>
            </w:r>
            <w:r w:rsidRPr="00D076AF">
              <w:rPr>
                <w:sz w:val="20"/>
                <w:szCs w:val="20"/>
              </w:rPr>
              <w:t>08</w:t>
            </w:r>
          </w:p>
        </w:tc>
        <w:tc>
          <w:tcPr>
            <w:tcW w:w="862" w:type="dxa"/>
          </w:tcPr>
          <w:p w14:paraId="56079DF7" w14:textId="77777777" w:rsidR="00790AF6" w:rsidRPr="00D076AF" w:rsidRDefault="00790AF6" w:rsidP="001B6F54">
            <w:pPr>
              <w:spacing w:before="40" w:after="60"/>
              <w:jc w:val="right"/>
              <w:rPr>
                <w:sz w:val="20"/>
                <w:szCs w:val="20"/>
              </w:rPr>
            </w:pPr>
            <w:r>
              <w:rPr>
                <w:sz w:val="20"/>
                <w:szCs w:val="20"/>
              </w:rPr>
              <w:t>60.</w:t>
            </w:r>
            <w:r w:rsidRPr="00D076AF">
              <w:rPr>
                <w:sz w:val="20"/>
                <w:szCs w:val="20"/>
              </w:rPr>
              <w:t>37</w:t>
            </w:r>
          </w:p>
        </w:tc>
        <w:tc>
          <w:tcPr>
            <w:tcW w:w="1101" w:type="dxa"/>
          </w:tcPr>
          <w:p w14:paraId="7D43F1E1" w14:textId="77777777" w:rsidR="00790AF6" w:rsidRPr="00D076AF" w:rsidRDefault="00790AF6" w:rsidP="001B6F54">
            <w:pPr>
              <w:spacing w:before="40" w:after="60"/>
              <w:jc w:val="right"/>
              <w:rPr>
                <w:sz w:val="20"/>
                <w:szCs w:val="20"/>
              </w:rPr>
            </w:pPr>
            <w:r w:rsidRPr="00D076AF">
              <w:rPr>
                <w:sz w:val="20"/>
                <w:szCs w:val="20"/>
              </w:rPr>
              <w:t>300</w:t>
            </w:r>
          </w:p>
        </w:tc>
        <w:tc>
          <w:tcPr>
            <w:tcW w:w="1133" w:type="dxa"/>
          </w:tcPr>
          <w:p w14:paraId="32A34D2F" w14:textId="77777777" w:rsidR="00790AF6" w:rsidRPr="00D076AF" w:rsidRDefault="00790AF6" w:rsidP="001B6F54">
            <w:pPr>
              <w:spacing w:before="40" w:after="60"/>
              <w:jc w:val="right"/>
              <w:rPr>
                <w:sz w:val="20"/>
                <w:szCs w:val="20"/>
              </w:rPr>
            </w:pPr>
            <w:r>
              <w:rPr>
                <w:sz w:val="20"/>
                <w:szCs w:val="20"/>
              </w:rPr>
              <w:t>Inland</w:t>
            </w:r>
          </w:p>
        </w:tc>
      </w:tr>
      <w:tr w:rsidR="00821C26" w:rsidRPr="00D076AF" w14:paraId="2DAFD872" w14:textId="77777777" w:rsidTr="00821C26">
        <w:tc>
          <w:tcPr>
            <w:tcW w:w="1381" w:type="dxa"/>
          </w:tcPr>
          <w:p w14:paraId="28FEFAF1" w14:textId="77777777" w:rsidR="00790AF6" w:rsidRPr="00D076AF" w:rsidRDefault="00790AF6" w:rsidP="001B6F54">
            <w:pPr>
              <w:spacing w:before="40" w:after="60"/>
              <w:rPr>
                <w:sz w:val="20"/>
                <w:szCs w:val="20"/>
              </w:rPr>
            </w:pPr>
            <w:r w:rsidRPr="00D076AF">
              <w:rPr>
                <w:sz w:val="20"/>
                <w:szCs w:val="20"/>
              </w:rPr>
              <w:t>PL0002R</w:t>
            </w:r>
          </w:p>
        </w:tc>
        <w:tc>
          <w:tcPr>
            <w:tcW w:w="1421" w:type="dxa"/>
          </w:tcPr>
          <w:p w14:paraId="58EDBC80" w14:textId="77777777" w:rsidR="00790AF6" w:rsidRPr="00D076AF" w:rsidRDefault="00790AF6" w:rsidP="001B6F54">
            <w:pPr>
              <w:spacing w:before="40" w:after="60"/>
              <w:rPr>
                <w:sz w:val="20"/>
                <w:szCs w:val="20"/>
              </w:rPr>
            </w:pPr>
            <w:proofErr w:type="spellStart"/>
            <w:r w:rsidRPr="00D076AF">
              <w:rPr>
                <w:sz w:val="20"/>
                <w:szCs w:val="20"/>
              </w:rPr>
              <w:t>Jarczew</w:t>
            </w:r>
            <w:proofErr w:type="spellEnd"/>
          </w:p>
        </w:tc>
        <w:tc>
          <w:tcPr>
            <w:tcW w:w="2551" w:type="dxa"/>
          </w:tcPr>
          <w:p w14:paraId="3365693F" w14:textId="77777777" w:rsidR="00790AF6" w:rsidRPr="00D076AF" w:rsidRDefault="00821C26" w:rsidP="001B6F54">
            <w:pPr>
              <w:spacing w:before="40" w:after="60"/>
              <w:rPr>
                <w:sz w:val="20"/>
                <w:szCs w:val="20"/>
              </w:rPr>
            </w:pPr>
            <w:r>
              <w:rPr>
                <w:sz w:val="20"/>
                <w:szCs w:val="20"/>
              </w:rPr>
              <w:t>(</w:t>
            </w:r>
            <w:r w:rsidR="00790AF6">
              <w:rPr>
                <w:sz w:val="20"/>
                <w:szCs w:val="20"/>
              </w:rPr>
              <w:t>NO</w:t>
            </w:r>
            <w:r w:rsidR="00790AF6" w:rsidRPr="00790AF6">
              <w:rPr>
                <w:sz w:val="20"/>
                <w:szCs w:val="20"/>
                <w:vertAlign w:val="subscript"/>
              </w:rPr>
              <w:t>3</w:t>
            </w:r>
            <w:r w:rsidR="00790AF6" w:rsidRPr="00790AF6">
              <w:rPr>
                <w:sz w:val="20"/>
                <w:szCs w:val="20"/>
                <w:vertAlign w:val="superscript"/>
              </w:rPr>
              <w:t>-</w:t>
            </w:r>
            <w:r w:rsidR="00790AF6">
              <w:rPr>
                <w:sz w:val="20"/>
                <w:szCs w:val="20"/>
              </w:rPr>
              <w:t>,</w:t>
            </w:r>
            <w:r>
              <w:rPr>
                <w:sz w:val="20"/>
                <w:szCs w:val="20"/>
              </w:rPr>
              <w:t>)</w:t>
            </w:r>
            <w:r w:rsidR="00790AF6">
              <w:rPr>
                <w:sz w:val="20"/>
                <w:szCs w:val="20"/>
              </w:rPr>
              <w:t xml:space="preserve"> sNO</w:t>
            </w:r>
            <w:r w:rsidR="00790AF6" w:rsidRPr="00790AF6">
              <w:rPr>
                <w:sz w:val="20"/>
                <w:szCs w:val="20"/>
                <w:vertAlign w:val="subscript"/>
              </w:rPr>
              <w:t>3</w:t>
            </w:r>
            <w:r w:rsidR="00790AF6">
              <w:rPr>
                <w:sz w:val="20"/>
                <w:szCs w:val="20"/>
              </w:rPr>
              <w:t>, sNH</w:t>
            </w:r>
            <w:r w:rsidR="00790AF6" w:rsidRPr="00790AF6">
              <w:rPr>
                <w:sz w:val="20"/>
                <w:szCs w:val="20"/>
                <w:vertAlign w:val="subscript"/>
              </w:rPr>
              <w:t>4</w:t>
            </w:r>
          </w:p>
        </w:tc>
        <w:tc>
          <w:tcPr>
            <w:tcW w:w="839" w:type="dxa"/>
          </w:tcPr>
          <w:p w14:paraId="54835B32" w14:textId="77777777" w:rsidR="00790AF6" w:rsidRPr="00D076AF" w:rsidRDefault="00790AF6" w:rsidP="001B6F54">
            <w:pPr>
              <w:spacing w:before="40" w:after="60"/>
              <w:jc w:val="right"/>
              <w:rPr>
                <w:sz w:val="20"/>
                <w:szCs w:val="20"/>
              </w:rPr>
            </w:pPr>
            <w:r>
              <w:rPr>
                <w:sz w:val="20"/>
                <w:szCs w:val="20"/>
              </w:rPr>
              <w:t>21.</w:t>
            </w:r>
            <w:r w:rsidRPr="00D076AF">
              <w:rPr>
                <w:sz w:val="20"/>
                <w:szCs w:val="20"/>
              </w:rPr>
              <w:t>98</w:t>
            </w:r>
          </w:p>
        </w:tc>
        <w:tc>
          <w:tcPr>
            <w:tcW w:w="862" w:type="dxa"/>
          </w:tcPr>
          <w:p w14:paraId="4E4E67AD" w14:textId="77777777" w:rsidR="00790AF6" w:rsidRPr="00D076AF" w:rsidRDefault="00790AF6" w:rsidP="001B6F54">
            <w:pPr>
              <w:spacing w:before="40" w:after="60"/>
              <w:jc w:val="right"/>
              <w:rPr>
                <w:sz w:val="20"/>
                <w:szCs w:val="20"/>
              </w:rPr>
            </w:pPr>
            <w:r>
              <w:rPr>
                <w:sz w:val="20"/>
                <w:szCs w:val="20"/>
              </w:rPr>
              <w:t>51.</w:t>
            </w:r>
            <w:r w:rsidRPr="00D076AF">
              <w:rPr>
                <w:sz w:val="20"/>
                <w:szCs w:val="20"/>
              </w:rPr>
              <w:t>82</w:t>
            </w:r>
          </w:p>
        </w:tc>
        <w:tc>
          <w:tcPr>
            <w:tcW w:w="1101" w:type="dxa"/>
          </w:tcPr>
          <w:p w14:paraId="30EC41DF" w14:textId="77777777" w:rsidR="00790AF6" w:rsidRPr="00D076AF" w:rsidRDefault="00790AF6" w:rsidP="001B6F54">
            <w:pPr>
              <w:spacing w:before="40" w:after="60"/>
              <w:jc w:val="right"/>
              <w:rPr>
                <w:sz w:val="20"/>
                <w:szCs w:val="20"/>
              </w:rPr>
            </w:pPr>
            <w:r w:rsidRPr="00D076AF">
              <w:rPr>
                <w:sz w:val="20"/>
                <w:szCs w:val="20"/>
              </w:rPr>
              <w:t>180</w:t>
            </w:r>
          </w:p>
        </w:tc>
        <w:tc>
          <w:tcPr>
            <w:tcW w:w="1133" w:type="dxa"/>
          </w:tcPr>
          <w:p w14:paraId="72A7E2AC" w14:textId="77777777" w:rsidR="00790AF6" w:rsidRPr="00D076AF" w:rsidRDefault="00790AF6" w:rsidP="001B6F54">
            <w:pPr>
              <w:spacing w:before="40" w:after="60"/>
              <w:jc w:val="right"/>
              <w:rPr>
                <w:sz w:val="20"/>
                <w:szCs w:val="20"/>
              </w:rPr>
            </w:pPr>
            <w:r>
              <w:rPr>
                <w:sz w:val="20"/>
                <w:szCs w:val="20"/>
              </w:rPr>
              <w:t>Inland</w:t>
            </w:r>
          </w:p>
        </w:tc>
      </w:tr>
      <w:tr w:rsidR="002D0E34" w:rsidRPr="00D076AF" w14:paraId="4F908246" w14:textId="77777777" w:rsidTr="00821C26">
        <w:tc>
          <w:tcPr>
            <w:tcW w:w="1381" w:type="dxa"/>
          </w:tcPr>
          <w:p w14:paraId="4E0F5FE9" w14:textId="724F3CF1" w:rsidR="002D0E34" w:rsidRPr="00D076AF" w:rsidRDefault="002D0E34" w:rsidP="001B6F54">
            <w:pPr>
              <w:spacing w:before="40" w:after="60"/>
              <w:rPr>
                <w:sz w:val="20"/>
                <w:szCs w:val="20"/>
              </w:rPr>
            </w:pPr>
            <w:r w:rsidRPr="00D076AF">
              <w:rPr>
                <w:sz w:val="20"/>
                <w:szCs w:val="20"/>
              </w:rPr>
              <w:t>PL0004R</w:t>
            </w:r>
          </w:p>
        </w:tc>
        <w:tc>
          <w:tcPr>
            <w:tcW w:w="1421" w:type="dxa"/>
          </w:tcPr>
          <w:p w14:paraId="3EDF46F6" w14:textId="454DD6D9" w:rsidR="002D0E34" w:rsidRPr="00D076AF" w:rsidRDefault="002D0E34" w:rsidP="001B6F54">
            <w:pPr>
              <w:spacing w:before="40" w:after="60"/>
              <w:rPr>
                <w:sz w:val="20"/>
                <w:szCs w:val="20"/>
              </w:rPr>
            </w:pPr>
            <w:proofErr w:type="spellStart"/>
            <w:r w:rsidRPr="00D076AF">
              <w:rPr>
                <w:sz w:val="20"/>
                <w:szCs w:val="20"/>
              </w:rPr>
              <w:t>Leba</w:t>
            </w:r>
            <w:proofErr w:type="spellEnd"/>
          </w:p>
        </w:tc>
        <w:tc>
          <w:tcPr>
            <w:tcW w:w="2551" w:type="dxa"/>
          </w:tcPr>
          <w:p w14:paraId="16B212A0" w14:textId="43B90CC0" w:rsidR="002D0E34" w:rsidRPr="00D076AF" w:rsidRDefault="002D0E34" w:rsidP="001B6F54">
            <w:pPr>
              <w:spacing w:before="40" w:after="60"/>
              <w:rPr>
                <w:sz w:val="20"/>
                <w:szCs w:val="20"/>
              </w:rPr>
            </w:pPr>
            <w:r>
              <w:rPr>
                <w:sz w:val="20"/>
                <w:szCs w:val="20"/>
              </w:rPr>
              <w:t>(NO</w:t>
            </w:r>
            <w:r w:rsidRPr="00790AF6">
              <w:rPr>
                <w:sz w:val="20"/>
                <w:szCs w:val="20"/>
                <w:vertAlign w:val="subscript"/>
              </w:rPr>
              <w:t>3</w:t>
            </w:r>
            <w:r w:rsidRPr="00790AF6">
              <w:rPr>
                <w:sz w:val="20"/>
                <w:szCs w:val="20"/>
                <w:vertAlign w:val="superscript"/>
              </w:rPr>
              <w:t>-</w:t>
            </w:r>
            <w:r>
              <w:rPr>
                <w:sz w:val="20"/>
                <w:szCs w:val="20"/>
              </w:rPr>
              <w:t>,) sNO</w:t>
            </w:r>
            <w:r w:rsidRPr="00790AF6">
              <w:rPr>
                <w:sz w:val="20"/>
                <w:szCs w:val="20"/>
                <w:vertAlign w:val="subscript"/>
              </w:rPr>
              <w:t>3</w:t>
            </w:r>
            <w:r>
              <w:rPr>
                <w:sz w:val="20"/>
                <w:szCs w:val="20"/>
              </w:rPr>
              <w:t>, sNH</w:t>
            </w:r>
            <w:r w:rsidRPr="00790AF6">
              <w:rPr>
                <w:sz w:val="20"/>
                <w:szCs w:val="20"/>
                <w:vertAlign w:val="subscript"/>
              </w:rPr>
              <w:t>4</w:t>
            </w:r>
          </w:p>
        </w:tc>
        <w:tc>
          <w:tcPr>
            <w:tcW w:w="839" w:type="dxa"/>
          </w:tcPr>
          <w:p w14:paraId="48815400" w14:textId="6264DFA9" w:rsidR="002D0E34" w:rsidRPr="00D076AF" w:rsidRDefault="002D0E34" w:rsidP="001B6F54">
            <w:pPr>
              <w:spacing w:before="40" w:after="60"/>
              <w:jc w:val="right"/>
              <w:rPr>
                <w:sz w:val="20"/>
                <w:szCs w:val="20"/>
              </w:rPr>
            </w:pPr>
            <w:r>
              <w:rPr>
                <w:sz w:val="20"/>
                <w:szCs w:val="20"/>
              </w:rPr>
              <w:t>17.</w:t>
            </w:r>
            <w:r w:rsidRPr="00D076AF">
              <w:rPr>
                <w:sz w:val="20"/>
                <w:szCs w:val="20"/>
              </w:rPr>
              <w:t>53</w:t>
            </w:r>
          </w:p>
        </w:tc>
        <w:tc>
          <w:tcPr>
            <w:tcW w:w="862" w:type="dxa"/>
          </w:tcPr>
          <w:p w14:paraId="24804F9B" w14:textId="3D921E4E" w:rsidR="002D0E34" w:rsidRPr="00D076AF" w:rsidRDefault="002D0E34" w:rsidP="001B6F54">
            <w:pPr>
              <w:spacing w:before="40" w:after="60"/>
              <w:jc w:val="right"/>
              <w:rPr>
                <w:sz w:val="20"/>
                <w:szCs w:val="20"/>
              </w:rPr>
            </w:pPr>
            <w:r>
              <w:rPr>
                <w:sz w:val="20"/>
                <w:szCs w:val="20"/>
              </w:rPr>
              <w:t>54.</w:t>
            </w:r>
            <w:r w:rsidRPr="00D076AF">
              <w:rPr>
                <w:sz w:val="20"/>
                <w:szCs w:val="20"/>
              </w:rPr>
              <w:t>75</w:t>
            </w:r>
          </w:p>
        </w:tc>
        <w:tc>
          <w:tcPr>
            <w:tcW w:w="1101" w:type="dxa"/>
          </w:tcPr>
          <w:p w14:paraId="697AAB59" w14:textId="3178DE99" w:rsidR="002D0E34" w:rsidRPr="00D076AF" w:rsidRDefault="002D0E34" w:rsidP="001B6F54">
            <w:pPr>
              <w:spacing w:before="40" w:after="60"/>
              <w:jc w:val="right"/>
              <w:rPr>
                <w:sz w:val="20"/>
                <w:szCs w:val="20"/>
              </w:rPr>
            </w:pPr>
            <w:r w:rsidRPr="00D076AF">
              <w:rPr>
                <w:sz w:val="20"/>
                <w:szCs w:val="20"/>
              </w:rPr>
              <w:t>2</w:t>
            </w:r>
          </w:p>
        </w:tc>
        <w:tc>
          <w:tcPr>
            <w:tcW w:w="1133" w:type="dxa"/>
          </w:tcPr>
          <w:p w14:paraId="220C5E75" w14:textId="7B5606B5" w:rsidR="002D0E34" w:rsidRPr="00D076AF" w:rsidRDefault="002D0E34" w:rsidP="001B6F54">
            <w:pPr>
              <w:spacing w:before="40" w:after="60"/>
              <w:jc w:val="right"/>
              <w:rPr>
                <w:sz w:val="20"/>
                <w:szCs w:val="20"/>
              </w:rPr>
            </w:pPr>
            <w:r>
              <w:rPr>
                <w:sz w:val="20"/>
                <w:szCs w:val="20"/>
              </w:rPr>
              <w:t>Coast</w:t>
            </w:r>
          </w:p>
        </w:tc>
      </w:tr>
      <w:tr w:rsidR="002D0E34" w:rsidRPr="00D076AF" w14:paraId="442E0E25" w14:textId="77777777" w:rsidTr="00283CC7">
        <w:tc>
          <w:tcPr>
            <w:tcW w:w="1381" w:type="dxa"/>
            <w:tcBorders>
              <w:bottom w:val="single" w:sz="4" w:space="0" w:color="auto"/>
            </w:tcBorders>
          </w:tcPr>
          <w:p w14:paraId="75E2941D" w14:textId="3E2CBAA3" w:rsidR="002D0E34" w:rsidRPr="00D076AF" w:rsidRDefault="002D0E34" w:rsidP="001B6F54">
            <w:pPr>
              <w:spacing w:before="40" w:after="60"/>
              <w:rPr>
                <w:sz w:val="20"/>
                <w:szCs w:val="20"/>
              </w:rPr>
            </w:pPr>
            <w:r w:rsidRPr="00D076AF">
              <w:rPr>
                <w:sz w:val="20"/>
                <w:szCs w:val="20"/>
              </w:rPr>
              <w:t>SE0014R</w:t>
            </w:r>
          </w:p>
        </w:tc>
        <w:tc>
          <w:tcPr>
            <w:tcW w:w="1421" w:type="dxa"/>
            <w:tcBorders>
              <w:bottom w:val="single" w:sz="4" w:space="0" w:color="auto"/>
            </w:tcBorders>
          </w:tcPr>
          <w:p w14:paraId="105910D4" w14:textId="1AF8B241" w:rsidR="002D0E34" w:rsidRPr="00D076AF" w:rsidRDefault="002D0E34" w:rsidP="001B6F54">
            <w:pPr>
              <w:spacing w:before="40" w:after="60"/>
              <w:rPr>
                <w:sz w:val="20"/>
                <w:szCs w:val="20"/>
              </w:rPr>
            </w:pPr>
            <w:proofErr w:type="spellStart"/>
            <w:r w:rsidRPr="00D076AF">
              <w:rPr>
                <w:sz w:val="20"/>
                <w:szCs w:val="20"/>
              </w:rPr>
              <w:t>Råö</w:t>
            </w:r>
            <w:proofErr w:type="spellEnd"/>
          </w:p>
        </w:tc>
        <w:tc>
          <w:tcPr>
            <w:tcW w:w="2551" w:type="dxa"/>
            <w:tcBorders>
              <w:bottom w:val="single" w:sz="4" w:space="0" w:color="auto"/>
            </w:tcBorders>
          </w:tcPr>
          <w:p w14:paraId="43E744E5" w14:textId="5FAD9BE0" w:rsidR="002D0E34" w:rsidRPr="00D076AF" w:rsidRDefault="002D0E34" w:rsidP="001B6F54">
            <w:pPr>
              <w:spacing w:before="40" w:after="60"/>
              <w:rPr>
                <w:sz w:val="20"/>
                <w:szCs w:val="20"/>
              </w:rPr>
            </w:pPr>
            <w:r>
              <w:rPr>
                <w:sz w:val="20"/>
                <w:szCs w:val="20"/>
              </w:rPr>
              <w:t>sNO</w:t>
            </w:r>
            <w:r w:rsidRPr="00790AF6">
              <w:rPr>
                <w:sz w:val="20"/>
                <w:szCs w:val="20"/>
                <w:vertAlign w:val="subscript"/>
              </w:rPr>
              <w:t>3</w:t>
            </w:r>
            <w:r>
              <w:rPr>
                <w:sz w:val="20"/>
                <w:szCs w:val="20"/>
              </w:rPr>
              <w:t>, sNH</w:t>
            </w:r>
            <w:r w:rsidRPr="00790AF6">
              <w:rPr>
                <w:sz w:val="20"/>
                <w:szCs w:val="20"/>
                <w:vertAlign w:val="subscript"/>
              </w:rPr>
              <w:t>4</w:t>
            </w:r>
          </w:p>
        </w:tc>
        <w:tc>
          <w:tcPr>
            <w:tcW w:w="839" w:type="dxa"/>
            <w:tcBorders>
              <w:bottom w:val="single" w:sz="4" w:space="0" w:color="auto"/>
            </w:tcBorders>
          </w:tcPr>
          <w:p w14:paraId="1A4AE1A8" w14:textId="52EFCF58" w:rsidR="002D0E34" w:rsidRPr="00D076AF" w:rsidRDefault="002D0E34" w:rsidP="001B6F54">
            <w:pPr>
              <w:spacing w:before="40" w:after="60"/>
              <w:jc w:val="right"/>
              <w:rPr>
                <w:sz w:val="20"/>
                <w:szCs w:val="20"/>
              </w:rPr>
            </w:pPr>
            <w:r>
              <w:rPr>
                <w:sz w:val="20"/>
                <w:szCs w:val="20"/>
              </w:rPr>
              <w:t>11.</w:t>
            </w:r>
            <w:r w:rsidRPr="00D076AF">
              <w:rPr>
                <w:sz w:val="20"/>
                <w:szCs w:val="20"/>
              </w:rPr>
              <w:t>91</w:t>
            </w:r>
          </w:p>
        </w:tc>
        <w:tc>
          <w:tcPr>
            <w:tcW w:w="862" w:type="dxa"/>
            <w:tcBorders>
              <w:bottom w:val="single" w:sz="4" w:space="0" w:color="auto"/>
            </w:tcBorders>
          </w:tcPr>
          <w:p w14:paraId="45BFA30D" w14:textId="6D3BB58C" w:rsidR="002D0E34" w:rsidRPr="00D076AF" w:rsidRDefault="002D0E34" w:rsidP="001B6F54">
            <w:pPr>
              <w:spacing w:before="40" w:after="60"/>
              <w:jc w:val="right"/>
              <w:rPr>
                <w:sz w:val="20"/>
                <w:szCs w:val="20"/>
              </w:rPr>
            </w:pPr>
            <w:r>
              <w:rPr>
                <w:sz w:val="20"/>
                <w:szCs w:val="20"/>
              </w:rPr>
              <w:t>57.</w:t>
            </w:r>
            <w:r w:rsidRPr="00D076AF">
              <w:rPr>
                <w:sz w:val="20"/>
                <w:szCs w:val="20"/>
              </w:rPr>
              <w:t>39</w:t>
            </w:r>
          </w:p>
        </w:tc>
        <w:tc>
          <w:tcPr>
            <w:tcW w:w="1101" w:type="dxa"/>
            <w:tcBorders>
              <w:bottom w:val="single" w:sz="4" w:space="0" w:color="auto"/>
            </w:tcBorders>
          </w:tcPr>
          <w:p w14:paraId="63DF0C54" w14:textId="64BB6887" w:rsidR="002D0E34" w:rsidRPr="00D076AF" w:rsidRDefault="002D0E34" w:rsidP="001B6F54">
            <w:pPr>
              <w:spacing w:before="40" w:after="60"/>
              <w:jc w:val="right"/>
              <w:rPr>
                <w:sz w:val="20"/>
                <w:szCs w:val="20"/>
              </w:rPr>
            </w:pPr>
            <w:r w:rsidRPr="00D076AF">
              <w:rPr>
                <w:sz w:val="20"/>
                <w:szCs w:val="20"/>
              </w:rPr>
              <w:t>5</w:t>
            </w:r>
          </w:p>
        </w:tc>
        <w:tc>
          <w:tcPr>
            <w:tcW w:w="1133" w:type="dxa"/>
            <w:tcBorders>
              <w:bottom w:val="single" w:sz="4" w:space="0" w:color="auto"/>
            </w:tcBorders>
          </w:tcPr>
          <w:p w14:paraId="7EE8CDDA" w14:textId="6B1D3001" w:rsidR="002D0E34" w:rsidRPr="00D076AF" w:rsidRDefault="002D0E34" w:rsidP="001B6F54">
            <w:pPr>
              <w:spacing w:before="40" w:after="60"/>
              <w:jc w:val="right"/>
              <w:rPr>
                <w:sz w:val="20"/>
                <w:szCs w:val="20"/>
              </w:rPr>
            </w:pPr>
            <w:r>
              <w:rPr>
                <w:sz w:val="20"/>
                <w:szCs w:val="20"/>
              </w:rPr>
              <w:t>Coast</w:t>
            </w:r>
          </w:p>
        </w:tc>
      </w:tr>
      <w:tr w:rsidR="002D0E34" w:rsidRPr="00D076AF" w14:paraId="13BBA7B0" w14:textId="77777777" w:rsidTr="00821C26">
        <w:tc>
          <w:tcPr>
            <w:tcW w:w="1381" w:type="dxa"/>
            <w:tcBorders>
              <w:bottom w:val="single" w:sz="4" w:space="0" w:color="auto"/>
            </w:tcBorders>
          </w:tcPr>
          <w:p w14:paraId="35E17549" w14:textId="77DBEB15" w:rsidR="002D0E34" w:rsidRPr="00D076AF" w:rsidRDefault="002D0E34" w:rsidP="001B6F54">
            <w:pPr>
              <w:spacing w:before="40" w:after="60"/>
              <w:rPr>
                <w:sz w:val="20"/>
                <w:szCs w:val="20"/>
              </w:rPr>
            </w:pPr>
          </w:p>
        </w:tc>
        <w:tc>
          <w:tcPr>
            <w:tcW w:w="1421" w:type="dxa"/>
            <w:tcBorders>
              <w:bottom w:val="single" w:sz="4" w:space="0" w:color="auto"/>
            </w:tcBorders>
          </w:tcPr>
          <w:p w14:paraId="255D552D" w14:textId="15A1B650" w:rsidR="002D0E34" w:rsidRPr="00D076AF" w:rsidRDefault="002D0E34" w:rsidP="001B6F54">
            <w:pPr>
              <w:spacing w:before="40" w:after="60"/>
              <w:rPr>
                <w:sz w:val="20"/>
                <w:szCs w:val="20"/>
              </w:rPr>
            </w:pPr>
          </w:p>
        </w:tc>
        <w:tc>
          <w:tcPr>
            <w:tcW w:w="2551" w:type="dxa"/>
            <w:tcBorders>
              <w:bottom w:val="single" w:sz="4" w:space="0" w:color="auto"/>
            </w:tcBorders>
          </w:tcPr>
          <w:p w14:paraId="08996928" w14:textId="4E89C043" w:rsidR="002D0E34" w:rsidRPr="00D076AF" w:rsidRDefault="002D0E34" w:rsidP="001B6F54">
            <w:pPr>
              <w:spacing w:before="40" w:after="60"/>
              <w:rPr>
                <w:sz w:val="20"/>
                <w:szCs w:val="20"/>
              </w:rPr>
            </w:pPr>
          </w:p>
        </w:tc>
        <w:tc>
          <w:tcPr>
            <w:tcW w:w="839" w:type="dxa"/>
            <w:tcBorders>
              <w:bottom w:val="single" w:sz="4" w:space="0" w:color="auto"/>
            </w:tcBorders>
          </w:tcPr>
          <w:p w14:paraId="0063D3CA" w14:textId="58E11905" w:rsidR="002D0E34" w:rsidRPr="00D076AF" w:rsidRDefault="002D0E34" w:rsidP="001B6F54">
            <w:pPr>
              <w:spacing w:before="40" w:after="60"/>
              <w:jc w:val="right"/>
              <w:rPr>
                <w:sz w:val="20"/>
                <w:szCs w:val="20"/>
              </w:rPr>
            </w:pPr>
          </w:p>
        </w:tc>
        <w:tc>
          <w:tcPr>
            <w:tcW w:w="862" w:type="dxa"/>
            <w:tcBorders>
              <w:bottom w:val="single" w:sz="4" w:space="0" w:color="auto"/>
            </w:tcBorders>
          </w:tcPr>
          <w:p w14:paraId="10C09EF6" w14:textId="1874EE27" w:rsidR="002D0E34" w:rsidRPr="00D076AF" w:rsidRDefault="002D0E34" w:rsidP="001B6F54">
            <w:pPr>
              <w:spacing w:before="40" w:after="60"/>
              <w:jc w:val="right"/>
              <w:rPr>
                <w:sz w:val="20"/>
                <w:szCs w:val="20"/>
              </w:rPr>
            </w:pPr>
          </w:p>
        </w:tc>
        <w:tc>
          <w:tcPr>
            <w:tcW w:w="1101" w:type="dxa"/>
            <w:tcBorders>
              <w:bottom w:val="single" w:sz="4" w:space="0" w:color="auto"/>
            </w:tcBorders>
          </w:tcPr>
          <w:p w14:paraId="489F0E26" w14:textId="288BDB9D" w:rsidR="002D0E34" w:rsidRPr="00D076AF" w:rsidRDefault="002D0E34" w:rsidP="001B6F54">
            <w:pPr>
              <w:spacing w:before="40" w:after="60"/>
              <w:jc w:val="right"/>
              <w:rPr>
                <w:sz w:val="20"/>
                <w:szCs w:val="20"/>
              </w:rPr>
            </w:pPr>
          </w:p>
        </w:tc>
        <w:tc>
          <w:tcPr>
            <w:tcW w:w="1133" w:type="dxa"/>
            <w:tcBorders>
              <w:bottom w:val="single" w:sz="4" w:space="0" w:color="auto"/>
            </w:tcBorders>
          </w:tcPr>
          <w:p w14:paraId="18EE944A" w14:textId="203190C7" w:rsidR="002D0E34" w:rsidRPr="00D076AF" w:rsidRDefault="002D0E34" w:rsidP="001B6F54">
            <w:pPr>
              <w:spacing w:before="40" w:after="60"/>
              <w:jc w:val="right"/>
              <w:rPr>
                <w:sz w:val="20"/>
                <w:szCs w:val="20"/>
              </w:rPr>
            </w:pPr>
          </w:p>
        </w:tc>
      </w:tr>
    </w:tbl>
    <w:p w14:paraId="3E35D490" w14:textId="77777777" w:rsidR="004253A8" w:rsidRDefault="004253A8" w:rsidP="006B3A3D">
      <w:pPr>
        <w:pStyle w:val="Heading1"/>
      </w:pPr>
      <w:bookmarkStart w:id="12" w:name="_Toc440538745"/>
      <w:r>
        <w:t>Nitrogen Deposition</w:t>
      </w:r>
      <w:bookmarkEnd w:id="12"/>
    </w:p>
    <w:p w14:paraId="32286258" w14:textId="77777777" w:rsidR="004253A8" w:rsidRDefault="003B6DCC" w:rsidP="00E23BEC">
      <w:pPr>
        <w:jc w:val="both"/>
      </w:pPr>
      <w:r>
        <w:t>The nitrogen deposition per grid cell was multiplied by the sea surface fraction per grid cell for calculating the nitrogen deposition into the sea</w:t>
      </w:r>
      <w:r w:rsidR="00A413D5">
        <w:t xml:space="preserve">. </w:t>
      </w:r>
      <w:r w:rsidR="00C20DBE">
        <w:t xml:space="preserve">Thus, in a coastal grid cell with 40% sea surface and 60% land, only 40% of the nitrogen deposition is considered. </w:t>
      </w:r>
      <w:r w:rsidR="00E23BEC">
        <w:fldChar w:fldCharType="begin"/>
      </w:r>
      <w:r w:rsidR="00E23BEC">
        <w:instrText xml:space="preserve"> REF _Ref439929491 \h </w:instrText>
      </w:r>
      <w:r w:rsidR="00E23BEC">
        <w:fldChar w:fldCharType="separate"/>
      </w:r>
      <w:r w:rsidR="00E23BEC">
        <w:t>Figure S</w:t>
      </w:r>
      <w:r w:rsidR="00E23BEC">
        <w:rPr>
          <w:noProof/>
        </w:rPr>
        <w:t>5</w:t>
      </w:r>
      <w:r w:rsidR="00E23BEC">
        <w:fldChar w:fldCharType="end"/>
      </w:r>
      <w:r w:rsidR="00E23BEC">
        <w:t xml:space="preserve"> </w:t>
      </w:r>
      <w:r w:rsidR="00A413D5">
        <w:t>shows the sea surface fraction and the regions that are considered as North and Baltic Sea. The latter information is necessary to create Table 6.</w:t>
      </w:r>
    </w:p>
    <w:p w14:paraId="52518F20" w14:textId="77777777" w:rsidR="00E23BEC" w:rsidRDefault="0092043C" w:rsidP="00E23BEC">
      <w:pPr>
        <w:keepNext/>
      </w:pPr>
      <w:r>
        <w:rPr>
          <w:noProof/>
          <w:lang w:val="en-US"/>
        </w:rPr>
        <w:drawing>
          <wp:inline distT="0" distB="0" distL="0" distR="0" wp14:anchorId="2BCBF6E8" wp14:editId="445084B1">
            <wp:extent cx="5760720" cy="2207795"/>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S05_ocean_map.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720" cy="2207795"/>
                    </a:xfrm>
                    <a:prstGeom prst="rect">
                      <a:avLst/>
                    </a:prstGeom>
                  </pic:spPr>
                </pic:pic>
              </a:graphicData>
            </a:graphic>
          </wp:inline>
        </w:drawing>
      </w:r>
    </w:p>
    <w:p w14:paraId="3DFD94E5" w14:textId="2A0BD2BE" w:rsidR="006B3A3D" w:rsidRPr="00C20DBE" w:rsidRDefault="00E23BEC" w:rsidP="00EF2CE8">
      <w:pPr>
        <w:pStyle w:val="Caption"/>
        <w:rPr>
          <w:noProof/>
        </w:rPr>
      </w:pPr>
      <w:bookmarkStart w:id="13" w:name="_Ref439929491"/>
      <w:r>
        <w:t>Figure S</w:t>
      </w:r>
      <w:fldSimple w:instr=" SEQ Figure \* ARABIC ">
        <w:r>
          <w:rPr>
            <w:noProof/>
          </w:rPr>
          <w:t>5</w:t>
        </w:r>
      </w:fldSimple>
      <w:bookmarkEnd w:id="13"/>
      <w:r>
        <w:t>:</w:t>
      </w:r>
      <w:r>
        <w:rPr>
          <w:noProof/>
        </w:rPr>
        <w:t xml:space="preserve"> Sea surface fraction of North (a) and Baltic Sea (b) that is considered for calculating the nitrogen deposition into both seas.</w:t>
      </w:r>
    </w:p>
    <w:sectPr w:rsidR="006B3A3D" w:rsidRPr="00C20DBE" w:rsidSect="002C5D29">
      <w:footerReference w:type="default" r:id="rId15"/>
      <w:type w:val="continuous"/>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35A9BC" w15:done="0"/>
  <w15:commentEx w15:paraId="24BD4D04" w15:done="0"/>
  <w15:commentEx w15:paraId="0D4063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DBB5C" w14:textId="77777777" w:rsidR="00F92710" w:rsidRDefault="00F92710" w:rsidP="00A41582">
      <w:pPr>
        <w:spacing w:after="0" w:line="240" w:lineRule="auto"/>
      </w:pPr>
      <w:r>
        <w:separator/>
      </w:r>
    </w:p>
  </w:endnote>
  <w:endnote w:type="continuationSeparator" w:id="0">
    <w:p w14:paraId="2A185F58" w14:textId="77777777" w:rsidR="00F92710" w:rsidRDefault="00F92710" w:rsidP="00A41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504796"/>
      <w:docPartObj>
        <w:docPartGallery w:val="Page Numbers (Bottom of Page)"/>
        <w:docPartUnique/>
      </w:docPartObj>
    </w:sdtPr>
    <w:sdtEndPr>
      <w:rPr>
        <w:noProof/>
      </w:rPr>
    </w:sdtEndPr>
    <w:sdtContent>
      <w:p w14:paraId="4044B815" w14:textId="0BFDDDEA" w:rsidR="003514A7" w:rsidRDefault="003514A7">
        <w:pPr>
          <w:pStyle w:val="Footer"/>
          <w:jc w:val="center"/>
        </w:pPr>
        <w:r>
          <w:t xml:space="preserve">Page </w:t>
        </w:r>
        <w:r>
          <w:fldChar w:fldCharType="begin"/>
        </w:r>
        <w:r>
          <w:instrText xml:space="preserve"> PAGE   \* MERGEFORMAT </w:instrText>
        </w:r>
        <w:r>
          <w:fldChar w:fldCharType="separate"/>
        </w:r>
        <w:r w:rsidR="00EF2CE8">
          <w:rPr>
            <w:noProof/>
          </w:rPr>
          <w:t>1</w:t>
        </w:r>
        <w:r>
          <w:rPr>
            <w:noProof/>
          </w:rPr>
          <w:fldChar w:fldCharType="end"/>
        </w:r>
        <w:r>
          <w:rPr>
            <w:noProof/>
          </w:rPr>
          <w:t>/</w:t>
        </w:r>
        <w:r>
          <w:rPr>
            <w:noProof/>
          </w:rPr>
          <w:fldChar w:fldCharType="begin"/>
        </w:r>
        <w:r>
          <w:rPr>
            <w:noProof/>
          </w:rPr>
          <w:instrText xml:space="preserve"> NUMPAGES   \* MERGEFORMAT </w:instrText>
        </w:r>
        <w:r>
          <w:rPr>
            <w:noProof/>
          </w:rPr>
          <w:fldChar w:fldCharType="separate"/>
        </w:r>
        <w:r w:rsidR="00EF2CE8">
          <w:rPr>
            <w:noProof/>
          </w:rPr>
          <w:t>5</w:t>
        </w:r>
        <w:r>
          <w:rPr>
            <w:noProof/>
          </w:rPr>
          <w:fldChar w:fldCharType="end"/>
        </w:r>
      </w:p>
    </w:sdtContent>
  </w:sdt>
  <w:p w14:paraId="2756DCF1" w14:textId="77777777" w:rsidR="003514A7" w:rsidRDefault="003514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632654" w14:textId="77777777" w:rsidR="00F92710" w:rsidRDefault="00F92710" w:rsidP="00A41582">
      <w:pPr>
        <w:spacing w:after="0" w:line="240" w:lineRule="auto"/>
      </w:pPr>
      <w:r>
        <w:separator/>
      </w:r>
    </w:p>
  </w:footnote>
  <w:footnote w:type="continuationSeparator" w:id="0">
    <w:p w14:paraId="7BA2466C" w14:textId="77777777" w:rsidR="00F92710" w:rsidRDefault="00F92710" w:rsidP="00A415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D5282"/>
    <w:multiLevelType w:val="hybridMultilevel"/>
    <w:tmpl w:val="3BDCE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44E8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AF50409"/>
    <w:multiLevelType w:val="multilevel"/>
    <w:tmpl w:val="3850C672"/>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
    <w:nsid w:val="16770D6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63A3317"/>
    <w:multiLevelType w:val="multilevel"/>
    <w:tmpl w:val="04070025"/>
    <w:lvl w:ilvl="0">
      <w:start w:val="1"/>
      <w:numFmt w:val="decimal"/>
      <w:pStyle w:val="berschrift11"/>
      <w:lvlText w:val="%1"/>
      <w:lvlJc w:val="left"/>
      <w:pPr>
        <w:ind w:left="432" w:hanging="432"/>
      </w:pPr>
    </w:lvl>
    <w:lvl w:ilvl="1">
      <w:start w:val="1"/>
      <w:numFmt w:val="decimal"/>
      <w:pStyle w:val="berschrift21"/>
      <w:lvlText w:val="%1.%2"/>
      <w:lvlJc w:val="left"/>
      <w:pPr>
        <w:ind w:left="576" w:hanging="576"/>
      </w:pPr>
    </w:lvl>
    <w:lvl w:ilvl="2">
      <w:start w:val="1"/>
      <w:numFmt w:val="decimal"/>
      <w:pStyle w:val="berschrift31"/>
      <w:lvlText w:val="%1.%2.%3"/>
      <w:lvlJc w:val="left"/>
      <w:pPr>
        <w:ind w:left="720" w:hanging="720"/>
      </w:pPr>
    </w:lvl>
    <w:lvl w:ilvl="3">
      <w:start w:val="1"/>
      <w:numFmt w:val="decimal"/>
      <w:pStyle w:val="berschrift41"/>
      <w:lvlText w:val="%1.%2.%3.%4"/>
      <w:lvlJc w:val="left"/>
      <w:pPr>
        <w:ind w:left="864" w:hanging="864"/>
      </w:pPr>
    </w:lvl>
    <w:lvl w:ilvl="4">
      <w:start w:val="1"/>
      <w:numFmt w:val="decimal"/>
      <w:pStyle w:val="berschrift51"/>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5">
    <w:nsid w:val="2A791F3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F981C1C"/>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34EB644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7003144"/>
    <w:multiLevelType w:val="multilevel"/>
    <w:tmpl w:val="514E7CF4"/>
    <w:lvl w:ilvl="0">
      <w:start w:val="1"/>
      <w:numFmt w:val="decimal"/>
      <w:pStyle w:val="Heading1"/>
      <w:lvlText w:val="S%1"/>
      <w:lvlJc w:val="left"/>
      <w:pPr>
        <w:ind w:left="510" w:hanging="510"/>
      </w:pPr>
      <w:rPr>
        <w:rFonts w:hint="default"/>
      </w:rPr>
    </w:lvl>
    <w:lvl w:ilvl="1">
      <w:start w:val="1"/>
      <w:numFmt w:val="decimal"/>
      <w:pStyle w:val="Heading2"/>
      <w:lvlText w:val="S%1.%2"/>
      <w:lvlJc w:val="left"/>
      <w:pPr>
        <w:ind w:left="680" w:hanging="680"/>
      </w:pPr>
      <w:rPr>
        <w:rFonts w:hint="default"/>
      </w:rPr>
    </w:lvl>
    <w:lvl w:ilvl="2">
      <w:start w:val="1"/>
      <w:numFmt w:val="decimal"/>
      <w:pStyle w:val="Heading3"/>
      <w:lvlText w:val="S%1.%2.%3"/>
      <w:lvlJc w:val="left"/>
      <w:pPr>
        <w:ind w:left="720" w:hanging="720"/>
      </w:pPr>
      <w:rPr>
        <w:rFonts w:hint="default"/>
      </w:rPr>
    </w:lvl>
    <w:lvl w:ilvl="3">
      <w:start w:val="1"/>
      <w:numFmt w:val="decimal"/>
      <w:pStyle w:val="Heading4"/>
      <w:lvlText w:val="S%1.%2.%3.%4"/>
      <w:lvlJc w:val="left"/>
      <w:pPr>
        <w:ind w:left="864" w:hanging="864"/>
      </w:pPr>
      <w:rPr>
        <w:rFonts w:hint="default"/>
      </w:rPr>
    </w:lvl>
    <w:lvl w:ilvl="4">
      <w:start w:val="1"/>
      <w:numFmt w:val="decimal"/>
      <w:pStyle w:val="Heading5"/>
      <w:lvlText w:val="S%1.%2.%3.%4.%5"/>
      <w:lvlJc w:val="left"/>
      <w:pPr>
        <w:ind w:left="1008" w:hanging="1008"/>
      </w:pPr>
      <w:rPr>
        <w:rFonts w:hint="default"/>
      </w:rPr>
    </w:lvl>
    <w:lvl w:ilvl="5">
      <w:start w:val="1"/>
      <w:numFmt w:val="decimal"/>
      <w:pStyle w:val="Heading6"/>
      <w:lvlText w:val="S%1.%2.%3.%4.%5.%6"/>
      <w:lvlJc w:val="left"/>
      <w:pPr>
        <w:ind w:left="1152" w:hanging="1152"/>
      </w:pPr>
      <w:rPr>
        <w:rFonts w:hint="default"/>
      </w:rPr>
    </w:lvl>
    <w:lvl w:ilvl="6">
      <w:start w:val="1"/>
      <w:numFmt w:val="decimal"/>
      <w:pStyle w:val="Heading7"/>
      <w:lvlText w:val="S%1.%2.%3.%4.%5.%6.%7"/>
      <w:lvlJc w:val="left"/>
      <w:pPr>
        <w:ind w:left="1296" w:hanging="1296"/>
      </w:pPr>
      <w:rPr>
        <w:rFonts w:hint="default"/>
      </w:rPr>
    </w:lvl>
    <w:lvl w:ilvl="7">
      <w:start w:val="1"/>
      <w:numFmt w:val="decimal"/>
      <w:pStyle w:val="Heading8"/>
      <w:lvlText w:val="S%1.%2.%3.%4.%5.%6.%7.%8"/>
      <w:lvlJc w:val="left"/>
      <w:pPr>
        <w:ind w:left="1440" w:hanging="1440"/>
      </w:pPr>
      <w:rPr>
        <w:rFonts w:hint="default"/>
      </w:rPr>
    </w:lvl>
    <w:lvl w:ilvl="8">
      <w:start w:val="1"/>
      <w:numFmt w:val="decimal"/>
      <w:pStyle w:val="Heading9"/>
      <w:lvlText w:val="S%1.%2.%3.%4.%5.%6.%7.%8.%9"/>
      <w:lvlJc w:val="left"/>
      <w:pPr>
        <w:ind w:left="1584" w:hanging="1584"/>
      </w:pPr>
      <w:rPr>
        <w:rFonts w:hint="default"/>
      </w:rPr>
    </w:lvl>
  </w:abstractNum>
  <w:abstractNum w:abstractNumId="9">
    <w:nsid w:val="378E7D15"/>
    <w:multiLevelType w:val="multilevel"/>
    <w:tmpl w:val="3850C672"/>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nsid w:val="381B31F9"/>
    <w:multiLevelType w:val="multilevel"/>
    <w:tmpl w:val="96FCE206"/>
    <w:lvl w:ilvl="0">
      <w:start w:val="1"/>
      <w:numFmt w:val="decimal"/>
      <w:lvlText w:val="S%1"/>
      <w:lvlJc w:val="left"/>
      <w:pPr>
        <w:ind w:left="510" w:hanging="510"/>
      </w:pPr>
      <w:rPr>
        <w:rFonts w:hint="default"/>
      </w:rPr>
    </w:lvl>
    <w:lvl w:ilvl="1">
      <w:start w:val="1"/>
      <w:numFmt w:val="decimal"/>
      <w:lvlText w:val="S%1.%2"/>
      <w:lvlJc w:val="left"/>
      <w:pPr>
        <w:ind w:left="720" w:hanging="360"/>
      </w:pPr>
      <w:rPr>
        <w:rFonts w:hint="default"/>
      </w:rPr>
    </w:lvl>
    <w:lvl w:ilvl="2">
      <w:start w:val="1"/>
      <w:numFmt w:val="decimal"/>
      <w:lvlText w:val="S%1.%2.%3"/>
      <w:lvlJc w:val="left"/>
      <w:pPr>
        <w:ind w:left="1080" w:hanging="360"/>
      </w:pPr>
      <w:rPr>
        <w:rFonts w:hint="default"/>
      </w:rPr>
    </w:lvl>
    <w:lvl w:ilvl="3">
      <w:start w:val="1"/>
      <w:numFmt w:val="decimal"/>
      <w:lvlText w:val="S%1.%2.%3.%4"/>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nsid w:val="38D44AD4"/>
    <w:multiLevelType w:val="hybridMultilevel"/>
    <w:tmpl w:val="B14AF18C"/>
    <w:lvl w:ilvl="0" w:tplc="61CC485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94E2351"/>
    <w:multiLevelType w:val="multilevel"/>
    <w:tmpl w:val="3850C672"/>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nsid w:val="45B56DEE"/>
    <w:multiLevelType w:val="multilevel"/>
    <w:tmpl w:val="3850C672"/>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nsid w:val="4732024E"/>
    <w:multiLevelType w:val="multilevel"/>
    <w:tmpl w:val="A800A1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4CDA09D2"/>
    <w:multiLevelType w:val="hybridMultilevel"/>
    <w:tmpl w:val="D378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43BF2"/>
    <w:multiLevelType w:val="multilevel"/>
    <w:tmpl w:val="96FCE206"/>
    <w:lvl w:ilvl="0">
      <w:start w:val="1"/>
      <w:numFmt w:val="decimal"/>
      <w:lvlText w:val="S%1"/>
      <w:lvlJc w:val="left"/>
      <w:pPr>
        <w:ind w:left="510" w:hanging="510"/>
      </w:pPr>
      <w:rPr>
        <w:rFonts w:hint="default"/>
      </w:rPr>
    </w:lvl>
    <w:lvl w:ilvl="1">
      <w:start w:val="1"/>
      <w:numFmt w:val="decimal"/>
      <w:lvlText w:val="S%1.%2"/>
      <w:lvlJc w:val="left"/>
      <w:pPr>
        <w:ind w:left="720" w:hanging="360"/>
      </w:pPr>
      <w:rPr>
        <w:rFonts w:hint="default"/>
      </w:rPr>
    </w:lvl>
    <w:lvl w:ilvl="2">
      <w:start w:val="1"/>
      <w:numFmt w:val="decimal"/>
      <w:lvlText w:val="S%1.%2.%3"/>
      <w:lvlJc w:val="left"/>
      <w:pPr>
        <w:ind w:left="1080" w:hanging="360"/>
      </w:pPr>
      <w:rPr>
        <w:rFonts w:hint="default"/>
      </w:rPr>
    </w:lvl>
    <w:lvl w:ilvl="3">
      <w:start w:val="1"/>
      <w:numFmt w:val="decimal"/>
      <w:lvlText w:val="S%1.%2.%3.%4"/>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7">
    <w:nsid w:val="55783465"/>
    <w:multiLevelType w:val="hybridMultilevel"/>
    <w:tmpl w:val="8D6E2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80C6336"/>
    <w:multiLevelType w:val="hybridMultilevel"/>
    <w:tmpl w:val="D2048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CB0561"/>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6F212588"/>
    <w:multiLevelType w:val="hybridMultilevel"/>
    <w:tmpl w:val="297494F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2FB6A8E"/>
    <w:multiLevelType w:val="multilevel"/>
    <w:tmpl w:val="E4DA23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7485643B"/>
    <w:multiLevelType w:val="hybridMultilevel"/>
    <w:tmpl w:val="F3386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D45CA0"/>
    <w:multiLevelType w:val="hybridMultilevel"/>
    <w:tmpl w:val="4FAA8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1"/>
  </w:num>
  <w:num w:numId="4">
    <w:abstractNumId w:val="1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2"/>
  </w:num>
  <w:num w:numId="10">
    <w:abstractNumId w:val="17"/>
  </w:num>
  <w:num w:numId="11">
    <w:abstractNumId w:val="15"/>
  </w:num>
  <w:num w:numId="12">
    <w:abstractNumId w:val="0"/>
  </w:num>
  <w:num w:numId="13">
    <w:abstractNumId w:val="16"/>
  </w:num>
  <w:num w:numId="14">
    <w:abstractNumId w:val="13"/>
  </w:num>
  <w:num w:numId="15">
    <w:abstractNumId w:val="12"/>
  </w:num>
  <w:num w:numId="16">
    <w:abstractNumId w:val="9"/>
  </w:num>
  <w:num w:numId="17">
    <w:abstractNumId w:val="20"/>
  </w:num>
  <w:num w:numId="18">
    <w:abstractNumId w:val="23"/>
  </w:num>
  <w:num w:numId="19">
    <w:abstractNumId w:val="2"/>
  </w:num>
  <w:num w:numId="20">
    <w:abstractNumId w:val="16"/>
    <w:lvlOverride w:ilvl="0">
      <w:lvl w:ilvl="0">
        <w:start w:val="1"/>
        <w:numFmt w:val="decimal"/>
        <w:lvlText w:val="S%1"/>
        <w:lvlJc w:val="left"/>
        <w:pPr>
          <w:ind w:left="510" w:hanging="510"/>
        </w:pPr>
        <w:rPr>
          <w:rFonts w:hint="default"/>
        </w:rPr>
      </w:lvl>
    </w:lvlOverride>
    <w:lvlOverride w:ilvl="1">
      <w:lvl w:ilvl="1">
        <w:start w:val="1"/>
        <w:numFmt w:val="decimal"/>
        <w:lvlText w:val="S%1.%2"/>
        <w:lvlJc w:val="left"/>
        <w:pPr>
          <w:ind w:left="720" w:hanging="360"/>
        </w:pPr>
        <w:rPr>
          <w:rFonts w:hint="default"/>
        </w:rPr>
      </w:lvl>
    </w:lvlOverride>
    <w:lvlOverride w:ilvl="2">
      <w:lvl w:ilvl="2">
        <w:start w:val="1"/>
        <w:numFmt w:val="decimal"/>
        <w:lvlText w:val="S%1.%2.%3"/>
        <w:lvlJc w:val="left"/>
        <w:pPr>
          <w:ind w:left="1080" w:hanging="360"/>
        </w:pPr>
        <w:rPr>
          <w:rFonts w:hint="default"/>
        </w:rPr>
      </w:lvl>
    </w:lvlOverride>
    <w:lvlOverride w:ilvl="3">
      <w:lvl w:ilvl="3">
        <w:start w:val="1"/>
        <w:numFmt w:val="decimal"/>
        <w:lvlText w:val="S%1.%2.%3.%4"/>
        <w:lvlJc w:val="left"/>
        <w:pPr>
          <w:ind w:left="1440" w:hanging="360"/>
        </w:pPr>
        <w:rPr>
          <w:rFonts w:hint="default"/>
        </w:rPr>
      </w:lvl>
    </w:lvlOverride>
    <w:lvlOverride w:ilvl="4">
      <w:lvl w:ilvl="4">
        <w:start w:val="1"/>
        <w:numFmt w:val="none"/>
        <w:lvlText w:val=""/>
        <w:lvlJc w:val="left"/>
        <w:pPr>
          <w:ind w:left="1800" w:hanging="360"/>
        </w:pPr>
        <w:rPr>
          <w:rFonts w:hint="default"/>
        </w:rPr>
      </w:lvl>
    </w:lvlOverride>
    <w:lvlOverride w:ilvl="5">
      <w:lvl w:ilvl="5">
        <w:start w:val="1"/>
        <w:numFmt w:val="none"/>
        <w:lvlText w:val=""/>
        <w:lvlJc w:val="left"/>
        <w:pPr>
          <w:ind w:left="2160" w:hanging="360"/>
        </w:pPr>
        <w:rPr>
          <w:rFonts w:hint="default"/>
        </w:rPr>
      </w:lvl>
    </w:lvlOverride>
    <w:lvlOverride w:ilvl="6">
      <w:lvl w:ilvl="6">
        <w:start w:val="1"/>
        <w:numFmt w:val="none"/>
        <w:lvlText w:val="%7"/>
        <w:lvlJc w:val="left"/>
        <w:pPr>
          <w:ind w:left="2520" w:hanging="360"/>
        </w:pPr>
        <w:rPr>
          <w:rFonts w:hint="default"/>
        </w:rPr>
      </w:lvl>
    </w:lvlOverride>
    <w:lvlOverride w:ilvl="7">
      <w:lvl w:ilvl="7">
        <w:start w:val="1"/>
        <w:numFmt w:val="none"/>
        <w:lvlText w:val="%8"/>
        <w:lvlJc w:val="left"/>
        <w:pPr>
          <w:ind w:left="2880" w:hanging="360"/>
        </w:pPr>
        <w:rPr>
          <w:rFonts w:hint="default"/>
        </w:rPr>
      </w:lvl>
    </w:lvlOverride>
    <w:lvlOverride w:ilvl="8">
      <w:lvl w:ilvl="8">
        <w:start w:val="1"/>
        <w:numFmt w:val="none"/>
        <w:lvlText w:val="%9"/>
        <w:lvlJc w:val="left"/>
        <w:pPr>
          <w:ind w:left="3240" w:hanging="360"/>
        </w:pPr>
        <w:rPr>
          <w:rFonts w:hint="default"/>
        </w:rPr>
      </w:lvl>
    </w:lvlOverride>
  </w:num>
  <w:num w:numId="21">
    <w:abstractNumId w:val="10"/>
  </w:num>
  <w:num w:numId="22">
    <w:abstractNumId w:val="7"/>
  </w:num>
  <w:num w:numId="23">
    <w:abstractNumId w:val="5"/>
  </w:num>
  <w:num w:numId="24">
    <w:abstractNumId w:val="3"/>
  </w:num>
  <w:num w:numId="25">
    <w:abstractNumId w:val="6"/>
  </w:num>
  <w:num w:numId="26">
    <w:abstractNumId w:val="19"/>
  </w:num>
  <w:num w:numId="27">
    <w:abstractNumId w:val="8"/>
  </w:num>
  <w:num w:numId="28">
    <w:abstractNumId w:val="8"/>
    <w:lvlOverride w:ilvl="0">
      <w:lvl w:ilvl="0">
        <w:start w:val="1"/>
        <w:numFmt w:val="decimal"/>
        <w:pStyle w:val="Heading1"/>
        <w:lvlText w:val="S%1"/>
        <w:lvlJc w:val="left"/>
        <w:pPr>
          <w:ind w:left="432" w:hanging="432"/>
        </w:pPr>
        <w:rPr>
          <w:rFonts w:hint="default"/>
        </w:rPr>
      </w:lvl>
    </w:lvlOverride>
    <w:lvlOverride w:ilvl="1">
      <w:lvl w:ilvl="1">
        <w:start w:val="1"/>
        <w:numFmt w:val="decimal"/>
        <w:pStyle w:val="Heading2"/>
        <w:lvlText w:val="S%1.%2"/>
        <w:lvlJc w:val="left"/>
        <w:pPr>
          <w:ind w:left="576" w:hanging="576"/>
        </w:pPr>
        <w:rPr>
          <w:rFonts w:hint="default"/>
        </w:rPr>
      </w:lvl>
    </w:lvlOverride>
    <w:lvlOverride w:ilvl="2">
      <w:lvl w:ilvl="2">
        <w:start w:val="1"/>
        <w:numFmt w:val="decimal"/>
        <w:pStyle w:val="Heading3"/>
        <w:lvlText w:val="S%1.%2.%3"/>
        <w:lvlJc w:val="left"/>
        <w:pPr>
          <w:ind w:left="720" w:hanging="720"/>
        </w:pPr>
        <w:rPr>
          <w:rFonts w:hint="default"/>
        </w:rPr>
      </w:lvl>
    </w:lvlOverride>
    <w:lvlOverride w:ilvl="3">
      <w:lvl w:ilvl="3">
        <w:start w:val="1"/>
        <w:numFmt w:val="decimal"/>
        <w:pStyle w:val="Heading4"/>
        <w:lvlText w:val="S%1.%2.%3.%4"/>
        <w:lvlJc w:val="left"/>
        <w:pPr>
          <w:ind w:left="864" w:hanging="864"/>
        </w:pPr>
        <w:rPr>
          <w:rFonts w:hint="default"/>
        </w:rPr>
      </w:lvl>
    </w:lvlOverride>
    <w:lvlOverride w:ilvl="4">
      <w:lvl w:ilvl="4">
        <w:start w:val="1"/>
        <w:numFmt w:val="decimal"/>
        <w:pStyle w:val="Heading5"/>
        <w:lvlText w:val="S%1.%2.%3.%4.%5"/>
        <w:lvlJc w:val="left"/>
        <w:pPr>
          <w:ind w:left="1008" w:hanging="1008"/>
        </w:pPr>
        <w:rPr>
          <w:rFonts w:hint="default"/>
        </w:rPr>
      </w:lvl>
    </w:lvlOverride>
    <w:lvlOverride w:ilvl="5">
      <w:lvl w:ilvl="5">
        <w:start w:val="1"/>
        <w:numFmt w:val="decimal"/>
        <w:pStyle w:val="Heading6"/>
        <w:lvlText w:val="S%1.%2.%3.%4.%5.%6"/>
        <w:lvlJc w:val="left"/>
        <w:pPr>
          <w:ind w:left="1152" w:hanging="1152"/>
        </w:pPr>
        <w:rPr>
          <w:rFonts w:hint="default"/>
        </w:rPr>
      </w:lvl>
    </w:lvlOverride>
    <w:lvlOverride w:ilvl="6">
      <w:lvl w:ilvl="6">
        <w:start w:val="1"/>
        <w:numFmt w:val="decimal"/>
        <w:pStyle w:val="Heading7"/>
        <w:lvlText w:val="S%1.%2.%3.%4.%5.%6.%7"/>
        <w:lvlJc w:val="left"/>
        <w:pPr>
          <w:ind w:left="1296" w:hanging="1296"/>
        </w:pPr>
        <w:rPr>
          <w:rFonts w:hint="default"/>
        </w:rPr>
      </w:lvl>
    </w:lvlOverride>
    <w:lvlOverride w:ilvl="7">
      <w:lvl w:ilvl="7">
        <w:start w:val="1"/>
        <w:numFmt w:val="decimal"/>
        <w:pStyle w:val="Heading8"/>
        <w:lvlText w:val="S%1.%2.%3.%4.%5.%6.%7.%8"/>
        <w:lvlJc w:val="left"/>
        <w:pPr>
          <w:ind w:left="1440" w:hanging="1440"/>
        </w:pPr>
        <w:rPr>
          <w:rFonts w:hint="default"/>
        </w:rPr>
      </w:lvl>
    </w:lvlOverride>
    <w:lvlOverride w:ilvl="8">
      <w:lvl w:ilvl="8">
        <w:start w:val="1"/>
        <w:numFmt w:val="decimal"/>
        <w:pStyle w:val="Heading9"/>
        <w:lvlText w:val="S%1.%2.%3.%4.%5.%6.%7.%8.%9"/>
        <w:lvlJc w:val="left"/>
        <w:pPr>
          <w:ind w:left="1584" w:hanging="1584"/>
        </w:pPr>
        <w:rPr>
          <w:rFonts w:hint="default"/>
        </w:rPr>
      </w:lvl>
    </w:lvlOverride>
  </w:num>
  <w:num w:numId="29">
    <w:abstractNumId w:val="8"/>
    <w:lvlOverride w:ilvl="0">
      <w:lvl w:ilvl="0">
        <w:start w:val="1"/>
        <w:numFmt w:val="decimal"/>
        <w:pStyle w:val="Heading1"/>
        <w:lvlText w:val="S%1"/>
        <w:lvlJc w:val="left"/>
        <w:pPr>
          <w:ind w:left="510" w:hanging="510"/>
        </w:pPr>
        <w:rPr>
          <w:rFonts w:hint="default"/>
        </w:rPr>
      </w:lvl>
    </w:lvlOverride>
    <w:lvlOverride w:ilvl="1">
      <w:lvl w:ilvl="1">
        <w:start w:val="1"/>
        <w:numFmt w:val="decimal"/>
        <w:pStyle w:val="Heading2"/>
        <w:lvlText w:val="S%1.%2"/>
        <w:lvlJc w:val="left"/>
        <w:pPr>
          <w:ind w:left="576" w:hanging="576"/>
        </w:pPr>
        <w:rPr>
          <w:rFonts w:hint="default"/>
        </w:rPr>
      </w:lvl>
    </w:lvlOverride>
    <w:lvlOverride w:ilvl="2">
      <w:lvl w:ilvl="2">
        <w:start w:val="1"/>
        <w:numFmt w:val="decimal"/>
        <w:pStyle w:val="Heading3"/>
        <w:lvlText w:val="S%1.%2.%3"/>
        <w:lvlJc w:val="left"/>
        <w:pPr>
          <w:ind w:left="720" w:hanging="720"/>
        </w:pPr>
        <w:rPr>
          <w:rFonts w:hint="default"/>
        </w:rPr>
      </w:lvl>
    </w:lvlOverride>
    <w:lvlOverride w:ilvl="3">
      <w:lvl w:ilvl="3">
        <w:start w:val="1"/>
        <w:numFmt w:val="decimal"/>
        <w:pStyle w:val="Heading4"/>
        <w:lvlText w:val="S%1.%2.%3.%4"/>
        <w:lvlJc w:val="left"/>
        <w:pPr>
          <w:ind w:left="864" w:hanging="864"/>
        </w:pPr>
        <w:rPr>
          <w:rFonts w:hint="default"/>
        </w:rPr>
      </w:lvl>
    </w:lvlOverride>
    <w:lvlOverride w:ilvl="4">
      <w:lvl w:ilvl="4">
        <w:start w:val="1"/>
        <w:numFmt w:val="decimal"/>
        <w:pStyle w:val="Heading5"/>
        <w:lvlText w:val="S%1.%2.%3.%4.%5"/>
        <w:lvlJc w:val="left"/>
        <w:pPr>
          <w:ind w:left="1008" w:hanging="1008"/>
        </w:pPr>
        <w:rPr>
          <w:rFonts w:hint="default"/>
        </w:rPr>
      </w:lvl>
    </w:lvlOverride>
    <w:lvlOverride w:ilvl="5">
      <w:lvl w:ilvl="5">
        <w:start w:val="1"/>
        <w:numFmt w:val="decimal"/>
        <w:pStyle w:val="Heading6"/>
        <w:lvlText w:val="S%1.%2.%3.%4.%5.%6"/>
        <w:lvlJc w:val="left"/>
        <w:pPr>
          <w:ind w:left="1152" w:hanging="1152"/>
        </w:pPr>
        <w:rPr>
          <w:rFonts w:hint="default"/>
        </w:rPr>
      </w:lvl>
    </w:lvlOverride>
    <w:lvlOverride w:ilvl="6">
      <w:lvl w:ilvl="6">
        <w:start w:val="1"/>
        <w:numFmt w:val="decimal"/>
        <w:pStyle w:val="Heading7"/>
        <w:lvlText w:val="S%1.%2.%3.%4.%5.%6.%7"/>
        <w:lvlJc w:val="left"/>
        <w:pPr>
          <w:ind w:left="1296" w:hanging="1296"/>
        </w:pPr>
        <w:rPr>
          <w:rFonts w:hint="default"/>
        </w:rPr>
      </w:lvl>
    </w:lvlOverride>
    <w:lvlOverride w:ilvl="7">
      <w:lvl w:ilvl="7">
        <w:start w:val="1"/>
        <w:numFmt w:val="decimal"/>
        <w:pStyle w:val="Heading8"/>
        <w:lvlText w:val="S%1.%2.%3.%4.%5.%6.%7.%8"/>
        <w:lvlJc w:val="left"/>
        <w:pPr>
          <w:ind w:left="1440" w:hanging="1440"/>
        </w:pPr>
        <w:rPr>
          <w:rFonts w:hint="default"/>
        </w:rPr>
      </w:lvl>
    </w:lvlOverride>
    <w:lvlOverride w:ilvl="8">
      <w:lvl w:ilvl="8">
        <w:start w:val="1"/>
        <w:numFmt w:val="decimal"/>
        <w:pStyle w:val="Heading9"/>
        <w:lvlText w:val="S%1.%2.%3.%4.%5.%6.%7.%8.%9"/>
        <w:lvlJc w:val="left"/>
        <w:pPr>
          <w:ind w:left="1584" w:hanging="1584"/>
        </w:pPr>
        <w:rPr>
          <w:rFonts w:hint="default"/>
        </w:rPr>
      </w:lvl>
    </w:lvlOverride>
  </w:num>
  <w:num w:numId="30">
    <w:abstractNumId w:val="8"/>
    <w:lvlOverride w:ilvl="0">
      <w:lvl w:ilvl="0">
        <w:start w:val="1"/>
        <w:numFmt w:val="decimal"/>
        <w:pStyle w:val="Heading1"/>
        <w:lvlText w:val="S%1"/>
        <w:lvlJc w:val="left"/>
        <w:pPr>
          <w:ind w:left="510" w:hanging="510"/>
        </w:pPr>
        <w:rPr>
          <w:rFonts w:hint="default"/>
        </w:rPr>
      </w:lvl>
    </w:lvlOverride>
    <w:lvlOverride w:ilvl="1">
      <w:lvl w:ilvl="1">
        <w:start w:val="1"/>
        <w:numFmt w:val="decimal"/>
        <w:pStyle w:val="Heading2"/>
        <w:lvlText w:val="S%1.%2"/>
        <w:lvlJc w:val="left"/>
        <w:pPr>
          <w:ind w:left="680" w:hanging="680"/>
        </w:pPr>
        <w:rPr>
          <w:rFonts w:hint="default"/>
        </w:rPr>
      </w:lvl>
    </w:lvlOverride>
    <w:lvlOverride w:ilvl="2">
      <w:lvl w:ilvl="2">
        <w:start w:val="1"/>
        <w:numFmt w:val="decimal"/>
        <w:pStyle w:val="Heading3"/>
        <w:lvlText w:val="S%1.%2.%3"/>
        <w:lvlJc w:val="left"/>
        <w:pPr>
          <w:ind w:left="794" w:hanging="794"/>
        </w:pPr>
        <w:rPr>
          <w:rFonts w:hint="default"/>
        </w:rPr>
      </w:lvl>
    </w:lvlOverride>
    <w:lvlOverride w:ilvl="3">
      <w:lvl w:ilvl="3">
        <w:start w:val="1"/>
        <w:numFmt w:val="decimal"/>
        <w:pStyle w:val="Heading4"/>
        <w:lvlText w:val="S%1.%2.%3.%4"/>
        <w:lvlJc w:val="left"/>
        <w:pPr>
          <w:ind w:left="964" w:hanging="964"/>
        </w:pPr>
        <w:rPr>
          <w:rFonts w:hint="default"/>
        </w:rPr>
      </w:lvl>
    </w:lvlOverride>
    <w:lvlOverride w:ilvl="4">
      <w:lvl w:ilvl="4">
        <w:start w:val="1"/>
        <w:numFmt w:val="decimal"/>
        <w:pStyle w:val="Heading5"/>
        <w:lvlText w:val="S%1.%2.%3.%4.%5"/>
        <w:lvlJc w:val="left"/>
        <w:pPr>
          <w:ind w:left="1077" w:hanging="1077"/>
        </w:pPr>
        <w:rPr>
          <w:rFonts w:hint="default"/>
        </w:rPr>
      </w:lvl>
    </w:lvlOverride>
    <w:lvlOverride w:ilvl="5">
      <w:lvl w:ilvl="5">
        <w:start w:val="1"/>
        <w:numFmt w:val="decimal"/>
        <w:pStyle w:val="Heading6"/>
        <w:lvlText w:val="S%1.%2.%3.%4.%5.%6"/>
        <w:lvlJc w:val="left"/>
        <w:pPr>
          <w:ind w:left="1247" w:hanging="1247"/>
        </w:pPr>
        <w:rPr>
          <w:rFonts w:hint="default"/>
        </w:rPr>
      </w:lvl>
    </w:lvlOverride>
    <w:lvlOverride w:ilvl="6">
      <w:lvl w:ilvl="6">
        <w:start w:val="1"/>
        <w:numFmt w:val="decimal"/>
        <w:pStyle w:val="Heading7"/>
        <w:lvlText w:val="S%1.%2.%3.%4.%5.%6.%7"/>
        <w:lvlJc w:val="left"/>
        <w:pPr>
          <w:ind w:left="1361" w:hanging="1361"/>
        </w:pPr>
        <w:rPr>
          <w:rFonts w:hint="default"/>
        </w:rPr>
      </w:lvl>
    </w:lvlOverride>
    <w:lvlOverride w:ilvl="7">
      <w:lvl w:ilvl="7">
        <w:start w:val="1"/>
        <w:numFmt w:val="decimal"/>
        <w:pStyle w:val="Heading8"/>
        <w:lvlText w:val="S%1.%2.%3.%4.%5.%6.%7.%8"/>
        <w:lvlJc w:val="left"/>
        <w:pPr>
          <w:ind w:left="1588" w:hanging="1588"/>
        </w:pPr>
        <w:rPr>
          <w:rFonts w:hint="default"/>
        </w:rPr>
      </w:lvl>
    </w:lvlOverride>
    <w:lvlOverride w:ilvl="8">
      <w:lvl w:ilvl="8">
        <w:start w:val="1"/>
        <w:numFmt w:val="decimal"/>
        <w:pStyle w:val="Heading9"/>
        <w:lvlText w:val="S%1.%2.%3.%4.%5.%6.%7.%8.%9"/>
        <w:lvlJc w:val="left"/>
        <w:pPr>
          <w:ind w:left="1701" w:hanging="1701"/>
        </w:pPr>
        <w:rPr>
          <w:rFonts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 Neumann">
    <w15:presenceInfo w15:providerId="Windows Live" w15:userId="ac1bfa3ea7c4fd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AA2"/>
    <w:rsid w:val="00003381"/>
    <w:rsid w:val="00023D5C"/>
    <w:rsid w:val="00025EEE"/>
    <w:rsid w:val="0003150D"/>
    <w:rsid w:val="00031ADC"/>
    <w:rsid w:val="00033B79"/>
    <w:rsid w:val="00040392"/>
    <w:rsid w:val="00041A69"/>
    <w:rsid w:val="000459D3"/>
    <w:rsid w:val="00046966"/>
    <w:rsid w:val="00080545"/>
    <w:rsid w:val="000962B3"/>
    <w:rsid w:val="000A6523"/>
    <w:rsid w:val="000B0231"/>
    <w:rsid w:val="000C34EF"/>
    <w:rsid w:val="000C594F"/>
    <w:rsid w:val="000D4098"/>
    <w:rsid w:val="000E2FE0"/>
    <w:rsid w:val="000E61F9"/>
    <w:rsid w:val="000F0167"/>
    <w:rsid w:val="000F2698"/>
    <w:rsid w:val="000F357E"/>
    <w:rsid w:val="000F4914"/>
    <w:rsid w:val="000F6C57"/>
    <w:rsid w:val="001055C0"/>
    <w:rsid w:val="00120AAF"/>
    <w:rsid w:val="001213E4"/>
    <w:rsid w:val="00134B73"/>
    <w:rsid w:val="0015609E"/>
    <w:rsid w:val="00162854"/>
    <w:rsid w:val="00163580"/>
    <w:rsid w:val="0017026E"/>
    <w:rsid w:val="001739F5"/>
    <w:rsid w:val="00176A21"/>
    <w:rsid w:val="001847F9"/>
    <w:rsid w:val="0018783D"/>
    <w:rsid w:val="00187C3B"/>
    <w:rsid w:val="001A1152"/>
    <w:rsid w:val="001B46CA"/>
    <w:rsid w:val="001B6F54"/>
    <w:rsid w:val="001C1592"/>
    <w:rsid w:val="001C412E"/>
    <w:rsid w:val="001D1D06"/>
    <w:rsid w:val="001E1D85"/>
    <w:rsid w:val="001E264C"/>
    <w:rsid w:val="001E43B4"/>
    <w:rsid w:val="0021017C"/>
    <w:rsid w:val="002203A5"/>
    <w:rsid w:val="002272D8"/>
    <w:rsid w:val="00241A7C"/>
    <w:rsid w:val="0024630C"/>
    <w:rsid w:val="00246C89"/>
    <w:rsid w:val="00257B4D"/>
    <w:rsid w:val="002702BF"/>
    <w:rsid w:val="00272ADE"/>
    <w:rsid w:val="00280792"/>
    <w:rsid w:val="00281D04"/>
    <w:rsid w:val="00291404"/>
    <w:rsid w:val="00295B4E"/>
    <w:rsid w:val="0029608C"/>
    <w:rsid w:val="00297FC9"/>
    <w:rsid w:val="002C09B1"/>
    <w:rsid w:val="002C1C42"/>
    <w:rsid w:val="002C5D29"/>
    <w:rsid w:val="002D0246"/>
    <w:rsid w:val="002D0541"/>
    <w:rsid w:val="002D0E34"/>
    <w:rsid w:val="002E56E9"/>
    <w:rsid w:val="0030415A"/>
    <w:rsid w:val="00304BF2"/>
    <w:rsid w:val="003067D5"/>
    <w:rsid w:val="00310813"/>
    <w:rsid w:val="00311A39"/>
    <w:rsid w:val="0031405F"/>
    <w:rsid w:val="00322462"/>
    <w:rsid w:val="00325A52"/>
    <w:rsid w:val="00330657"/>
    <w:rsid w:val="003311EF"/>
    <w:rsid w:val="003438C3"/>
    <w:rsid w:val="00345D84"/>
    <w:rsid w:val="00350D68"/>
    <w:rsid w:val="003514A7"/>
    <w:rsid w:val="00352685"/>
    <w:rsid w:val="00354813"/>
    <w:rsid w:val="0036089D"/>
    <w:rsid w:val="00361A7E"/>
    <w:rsid w:val="00362997"/>
    <w:rsid w:val="00367008"/>
    <w:rsid w:val="0038498C"/>
    <w:rsid w:val="00391786"/>
    <w:rsid w:val="00397978"/>
    <w:rsid w:val="003A1861"/>
    <w:rsid w:val="003A1D6B"/>
    <w:rsid w:val="003A5B32"/>
    <w:rsid w:val="003A6102"/>
    <w:rsid w:val="003B6DCC"/>
    <w:rsid w:val="003C4CC5"/>
    <w:rsid w:val="003C794E"/>
    <w:rsid w:val="003D293E"/>
    <w:rsid w:val="003D2BAF"/>
    <w:rsid w:val="003E0488"/>
    <w:rsid w:val="003E1FD6"/>
    <w:rsid w:val="003E7264"/>
    <w:rsid w:val="0040326C"/>
    <w:rsid w:val="00406DE4"/>
    <w:rsid w:val="0041476D"/>
    <w:rsid w:val="004253A8"/>
    <w:rsid w:val="00425C1C"/>
    <w:rsid w:val="0043040C"/>
    <w:rsid w:val="00442DC0"/>
    <w:rsid w:val="00452E7C"/>
    <w:rsid w:val="00457C35"/>
    <w:rsid w:val="00457DD3"/>
    <w:rsid w:val="00461718"/>
    <w:rsid w:val="00466087"/>
    <w:rsid w:val="00477C4E"/>
    <w:rsid w:val="00482958"/>
    <w:rsid w:val="00483A8B"/>
    <w:rsid w:val="004A6F88"/>
    <w:rsid w:val="004B0697"/>
    <w:rsid w:val="004B2EC6"/>
    <w:rsid w:val="004B426F"/>
    <w:rsid w:val="004C4886"/>
    <w:rsid w:val="004C6742"/>
    <w:rsid w:val="004D0DBB"/>
    <w:rsid w:val="004D623C"/>
    <w:rsid w:val="004D7B39"/>
    <w:rsid w:val="00502A88"/>
    <w:rsid w:val="005120FA"/>
    <w:rsid w:val="00523378"/>
    <w:rsid w:val="005270B1"/>
    <w:rsid w:val="005338F9"/>
    <w:rsid w:val="0053689B"/>
    <w:rsid w:val="00541E0D"/>
    <w:rsid w:val="00556CF8"/>
    <w:rsid w:val="00562AC0"/>
    <w:rsid w:val="00570E0B"/>
    <w:rsid w:val="0057254A"/>
    <w:rsid w:val="005766DF"/>
    <w:rsid w:val="00576A78"/>
    <w:rsid w:val="00582C4C"/>
    <w:rsid w:val="00593167"/>
    <w:rsid w:val="005A0EC3"/>
    <w:rsid w:val="005A791B"/>
    <w:rsid w:val="005B1585"/>
    <w:rsid w:val="005B2589"/>
    <w:rsid w:val="005B68EC"/>
    <w:rsid w:val="005D3B31"/>
    <w:rsid w:val="005E263B"/>
    <w:rsid w:val="005F022B"/>
    <w:rsid w:val="005F0A7B"/>
    <w:rsid w:val="005F3132"/>
    <w:rsid w:val="0060059A"/>
    <w:rsid w:val="0060448D"/>
    <w:rsid w:val="00607092"/>
    <w:rsid w:val="00627776"/>
    <w:rsid w:val="006312C0"/>
    <w:rsid w:val="006320A5"/>
    <w:rsid w:val="006339F5"/>
    <w:rsid w:val="0063496C"/>
    <w:rsid w:val="006453C2"/>
    <w:rsid w:val="0064556A"/>
    <w:rsid w:val="0064644C"/>
    <w:rsid w:val="00664710"/>
    <w:rsid w:val="0067593A"/>
    <w:rsid w:val="006869DD"/>
    <w:rsid w:val="00692835"/>
    <w:rsid w:val="006A192F"/>
    <w:rsid w:val="006A5073"/>
    <w:rsid w:val="006B184E"/>
    <w:rsid w:val="006B1AEF"/>
    <w:rsid w:val="006B3A3D"/>
    <w:rsid w:val="006B790B"/>
    <w:rsid w:val="006C0792"/>
    <w:rsid w:val="006C111A"/>
    <w:rsid w:val="006C5739"/>
    <w:rsid w:val="006D5E07"/>
    <w:rsid w:val="006D7ECA"/>
    <w:rsid w:val="006F332C"/>
    <w:rsid w:val="006F77DA"/>
    <w:rsid w:val="007057FA"/>
    <w:rsid w:val="0072002D"/>
    <w:rsid w:val="0072455C"/>
    <w:rsid w:val="00735447"/>
    <w:rsid w:val="00737F7D"/>
    <w:rsid w:val="007413FE"/>
    <w:rsid w:val="00744AA2"/>
    <w:rsid w:val="00751C6D"/>
    <w:rsid w:val="007524A8"/>
    <w:rsid w:val="0075367D"/>
    <w:rsid w:val="007547CA"/>
    <w:rsid w:val="00756A8F"/>
    <w:rsid w:val="0075785A"/>
    <w:rsid w:val="00762A15"/>
    <w:rsid w:val="0076757F"/>
    <w:rsid w:val="00774F58"/>
    <w:rsid w:val="00787214"/>
    <w:rsid w:val="00790AF6"/>
    <w:rsid w:val="007A4F62"/>
    <w:rsid w:val="007B16B0"/>
    <w:rsid w:val="007D4C92"/>
    <w:rsid w:val="007D7E2B"/>
    <w:rsid w:val="007F190A"/>
    <w:rsid w:val="007F4BF0"/>
    <w:rsid w:val="00803C47"/>
    <w:rsid w:val="0080777D"/>
    <w:rsid w:val="00821C26"/>
    <w:rsid w:val="008222FC"/>
    <w:rsid w:val="00822F92"/>
    <w:rsid w:val="0083735A"/>
    <w:rsid w:val="00856441"/>
    <w:rsid w:val="00856C0B"/>
    <w:rsid w:val="0085755E"/>
    <w:rsid w:val="00863955"/>
    <w:rsid w:val="00873872"/>
    <w:rsid w:val="00874710"/>
    <w:rsid w:val="00875764"/>
    <w:rsid w:val="008862A6"/>
    <w:rsid w:val="008940F3"/>
    <w:rsid w:val="008A2C63"/>
    <w:rsid w:val="008A5DF7"/>
    <w:rsid w:val="008A7E95"/>
    <w:rsid w:val="008B1A82"/>
    <w:rsid w:val="008B31EA"/>
    <w:rsid w:val="008C0132"/>
    <w:rsid w:val="008E0CD4"/>
    <w:rsid w:val="008E5ABE"/>
    <w:rsid w:val="008F1A92"/>
    <w:rsid w:val="008F3732"/>
    <w:rsid w:val="009104A6"/>
    <w:rsid w:val="00910B7A"/>
    <w:rsid w:val="00912423"/>
    <w:rsid w:val="0092043C"/>
    <w:rsid w:val="009228C8"/>
    <w:rsid w:val="00926666"/>
    <w:rsid w:val="00934D00"/>
    <w:rsid w:val="009360FC"/>
    <w:rsid w:val="00937217"/>
    <w:rsid w:val="00945092"/>
    <w:rsid w:val="009475A4"/>
    <w:rsid w:val="009553E8"/>
    <w:rsid w:val="00955430"/>
    <w:rsid w:val="00961574"/>
    <w:rsid w:val="00964D56"/>
    <w:rsid w:val="00967F8B"/>
    <w:rsid w:val="0097574B"/>
    <w:rsid w:val="00975F9F"/>
    <w:rsid w:val="009814D7"/>
    <w:rsid w:val="009831C4"/>
    <w:rsid w:val="00992144"/>
    <w:rsid w:val="009B6B91"/>
    <w:rsid w:val="009C5763"/>
    <w:rsid w:val="009F6D63"/>
    <w:rsid w:val="00A0600B"/>
    <w:rsid w:val="00A126A5"/>
    <w:rsid w:val="00A1655A"/>
    <w:rsid w:val="00A1743F"/>
    <w:rsid w:val="00A26013"/>
    <w:rsid w:val="00A304FF"/>
    <w:rsid w:val="00A34CE3"/>
    <w:rsid w:val="00A413D5"/>
    <w:rsid w:val="00A41582"/>
    <w:rsid w:val="00A511C7"/>
    <w:rsid w:val="00A60B1A"/>
    <w:rsid w:val="00A62551"/>
    <w:rsid w:val="00A70BCE"/>
    <w:rsid w:val="00A80418"/>
    <w:rsid w:val="00A808D0"/>
    <w:rsid w:val="00A93C0A"/>
    <w:rsid w:val="00A94848"/>
    <w:rsid w:val="00AA147D"/>
    <w:rsid w:val="00AB2320"/>
    <w:rsid w:val="00AB3C9B"/>
    <w:rsid w:val="00AB3EDC"/>
    <w:rsid w:val="00AB594F"/>
    <w:rsid w:val="00AC04B9"/>
    <w:rsid w:val="00AC494B"/>
    <w:rsid w:val="00AC68A0"/>
    <w:rsid w:val="00AF7817"/>
    <w:rsid w:val="00B04B9C"/>
    <w:rsid w:val="00B05C51"/>
    <w:rsid w:val="00B11F8F"/>
    <w:rsid w:val="00B1284D"/>
    <w:rsid w:val="00B163E9"/>
    <w:rsid w:val="00B22698"/>
    <w:rsid w:val="00B419F2"/>
    <w:rsid w:val="00B80C27"/>
    <w:rsid w:val="00B828D0"/>
    <w:rsid w:val="00BA0561"/>
    <w:rsid w:val="00BA2B0F"/>
    <w:rsid w:val="00BA479A"/>
    <w:rsid w:val="00BC0953"/>
    <w:rsid w:val="00BC3976"/>
    <w:rsid w:val="00BE44CA"/>
    <w:rsid w:val="00C02BBC"/>
    <w:rsid w:val="00C03E33"/>
    <w:rsid w:val="00C117A4"/>
    <w:rsid w:val="00C20DBE"/>
    <w:rsid w:val="00C24325"/>
    <w:rsid w:val="00C24550"/>
    <w:rsid w:val="00C33DCD"/>
    <w:rsid w:val="00C504C3"/>
    <w:rsid w:val="00C82841"/>
    <w:rsid w:val="00C85292"/>
    <w:rsid w:val="00C9143B"/>
    <w:rsid w:val="00CA0FF6"/>
    <w:rsid w:val="00CA1816"/>
    <w:rsid w:val="00CA4DFE"/>
    <w:rsid w:val="00CA66DF"/>
    <w:rsid w:val="00CA7723"/>
    <w:rsid w:val="00CB2960"/>
    <w:rsid w:val="00CD0FC6"/>
    <w:rsid w:val="00CD4B47"/>
    <w:rsid w:val="00D076AF"/>
    <w:rsid w:val="00D14E7D"/>
    <w:rsid w:val="00D25DA9"/>
    <w:rsid w:val="00D35BFC"/>
    <w:rsid w:val="00D35CCD"/>
    <w:rsid w:val="00D35E86"/>
    <w:rsid w:val="00D4398C"/>
    <w:rsid w:val="00D46898"/>
    <w:rsid w:val="00D5234E"/>
    <w:rsid w:val="00D65F3C"/>
    <w:rsid w:val="00D66B78"/>
    <w:rsid w:val="00D86957"/>
    <w:rsid w:val="00DA1F99"/>
    <w:rsid w:val="00DA3193"/>
    <w:rsid w:val="00DB0173"/>
    <w:rsid w:val="00DB584B"/>
    <w:rsid w:val="00DC3B33"/>
    <w:rsid w:val="00DC4384"/>
    <w:rsid w:val="00DD2913"/>
    <w:rsid w:val="00DE6917"/>
    <w:rsid w:val="00DF020C"/>
    <w:rsid w:val="00DF56C6"/>
    <w:rsid w:val="00E03E26"/>
    <w:rsid w:val="00E06B0D"/>
    <w:rsid w:val="00E210E4"/>
    <w:rsid w:val="00E23BEC"/>
    <w:rsid w:val="00E2648A"/>
    <w:rsid w:val="00E35F04"/>
    <w:rsid w:val="00E37D81"/>
    <w:rsid w:val="00E44D1B"/>
    <w:rsid w:val="00E507CF"/>
    <w:rsid w:val="00E5759F"/>
    <w:rsid w:val="00E63E87"/>
    <w:rsid w:val="00E64E52"/>
    <w:rsid w:val="00E701B4"/>
    <w:rsid w:val="00E809F8"/>
    <w:rsid w:val="00E822FB"/>
    <w:rsid w:val="00EA0409"/>
    <w:rsid w:val="00EA25EC"/>
    <w:rsid w:val="00EA72E7"/>
    <w:rsid w:val="00EB7BD9"/>
    <w:rsid w:val="00EC293B"/>
    <w:rsid w:val="00ED457C"/>
    <w:rsid w:val="00ED5BBB"/>
    <w:rsid w:val="00ED61AD"/>
    <w:rsid w:val="00EE0B02"/>
    <w:rsid w:val="00EE1115"/>
    <w:rsid w:val="00EE38A2"/>
    <w:rsid w:val="00EE4F33"/>
    <w:rsid w:val="00EF2CE8"/>
    <w:rsid w:val="00EF312F"/>
    <w:rsid w:val="00EF5B67"/>
    <w:rsid w:val="00F068B7"/>
    <w:rsid w:val="00F14B70"/>
    <w:rsid w:val="00F238B2"/>
    <w:rsid w:val="00F24AA2"/>
    <w:rsid w:val="00F3022B"/>
    <w:rsid w:val="00F476C0"/>
    <w:rsid w:val="00F47943"/>
    <w:rsid w:val="00F623A1"/>
    <w:rsid w:val="00F6526F"/>
    <w:rsid w:val="00F67BE2"/>
    <w:rsid w:val="00F83F28"/>
    <w:rsid w:val="00F840DB"/>
    <w:rsid w:val="00F84CC6"/>
    <w:rsid w:val="00F853C7"/>
    <w:rsid w:val="00F92710"/>
    <w:rsid w:val="00F956C4"/>
    <w:rsid w:val="00F97E06"/>
    <w:rsid w:val="00FA0163"/>
    <w:rsid w:val="00FA3828"/>
    <w:rsid w:val="00FA7658"/>
    <w:rsid w:val="00FC139E"/>
    <w:rsid w:val="00FC3BA2"/>
    <w:rsid w:val="00FD0C17"/>
    <w:rsid w:val="00FD4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D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3D"/>
    <w:pPr>
      <w:spacing w:after="80"/>
    </w:pPr>
  </w:style>
  <w:style w:type="paragraph" w:styleId="Heading1">
    <w:name w:val="heading 1"/>
    <w:basedOn w:val="Normal"/>
    <w:next w:val="Normal"/>
    <w:link w:val="Heading1Char"/>
    <w:uiPriority w:val="9"/>
    <w:qFormat/>
    <w:rsid w:val="006B3A3D"/>
    <w:pPr>
      <w:keepNext/>
      <w:numPr>
        <w:numId w:val="30"/>
      </w:numPr>
      <w:spacing w:before="36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241A7C"/>
    <w:pPr>
      <w:numPr>
        <w:ilvl w:val="1"/>
        <w:numId w:val="2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41A7C"/>
    <w:pPr>
      <w:numPr>
        <w:ilvl w:val="2"/>
        <w:numId w:val="27"/>
      </w:num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41A7C"/>
    <w:pPr>
      <w:numPr>
        <w:ilvl w:val="3"/>
        <w:numId w:val="27"/>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41A7C"/>
    <w:pPr>
      <w:numPr>
        <w:ilvl w:val="4"/>
        <w:numId w:val="27"/>
      </w:num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41A7C"/>
    <w:pPr>
      <w:numPr>
        <w:ilvl w:val="5"/>
        <w:numId w:val="27"/>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41A7C"/>
    <w:pPr>
      <w:numPr>
        <w:ilvl w:val="6"/>
        <w:numId w:val="27"/>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41A7C"/>
    <w:pPr>
      <w:numPr>
        <w:ilvl w:val="7"/>
        <w:numId w:val="27"/>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41A7C"/>
    <w:pPr>
      <w:numPr>
        <w:ilvl w:val="8"/>
        <w:numId w:val="27"/>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A3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241A7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41A7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41A7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41A7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41A7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41A7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41A7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41A7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41A7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41A7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41A7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41A7C"/>
    <w:rPr>
      <w:rFonts w:asciiTheme="majorHAnsi" w:eastAsiaTheme="majorEastAsia" w:hAnsiTheme="majorHAnsi" w:cstheme="majorBidi"/>
      <w:i/>
      <w:iCs/>
      <w:spacing w:val="13"/>
      <w:sz w:val="24"/>
      <w:szCs w:val="24"/>
    </w:rPr>
  </w:style>
  <w:style w:type="character" w:styleId="Strong">
    <w:name w:val="Strong"/>
    <w:uiPriority w:val="22"/>
    <w:qFormat/>
    <w:rsid w:val="00241A7C"/>
    <w:rPr>
      <w:b/>
      <w:bCs/>
    </w:rPr>
  </w:style>
  <w:style w:type="character" w:styleId="Emphasis">
    <w:name w:val="Emphasis"/>
    <w:uiPriority w:val="20"/>
    <w:qFormat/>
    <w:rsid w:val="00241A7C"/>
    <w:rPr>
      <w:b/>
      <w:bCs/>
      <w:i/>
      <w:iCs/>
      <w:spacing w:val="10"/>
      <w:bdr w:val="none" w:sz="0" w:space="0" w:color="auto"/>
      <w:shd w:val="clear" w:color="auto" w:fill="auto"/>
    </w:rPr>
  </w:style>
  <w:style w:type="paragraph" w:styleId="NoSpacing">
    <w:name w:val="No Spacing"/>
    <w:basedOn w:val="Normal"/>
    <w:uiPriority w:val="1"/>
    <w:qFormat/>
    <w:rsid w:val="00241A7C"/>
    <w:pPr>
      <w:spacing w:after="0" w:line="240" w:lineRule="auto"/>
    </w:pPr>
  </w:style>
  <w:style w:type="paragraph" w:styleId="ListParagraph">
    <w:name w:val="List Paragraph"/>
    <w:basedOn w:val="Normal"/>
    <w:uiPriority w:val="34"/>
    <w:qFormat/>
    <w:rsid w:val="00241A7C"/>
    <w:pPr>
      <w:ind w:left="720"/>
      <w:contextualSpacing/>
    </w:pPr>
  </w:style>
  <w:style w:type="paragraph" w:styleId="Quote">
    <w:name w:val="Quote"/>
    <w:basedOn w:val="Normal"/>
    <w:next w:val="Normal"/>
    <w:link w:val="QuoteChar"/>
    <w:uiPriority w:val="29"/>
    <w:qFormat/>
    <w:rsid w:val="00241A7C"/>
    <w:pPr>
      <w:spacing w:before="200" w:after="0"/>
      <w:ind w:left="360" w:right="360"/>
    </w:pPr>
    <w:rPr>
      <w:i/>
      <w:iCs/>
    </w:rPr>
  </w:style>
  <w:style w:type="character" w:customStyle="1" w:styleId="QuoteChar">
    <w:name w:val="Quote Char"/>
    <w:basedOn w:val="DefaultParagraphFont"/>
    <w:link w:val="Quote"/>
    <w:uiPriority w:val="29"/>
    <w:rsid w:val="00241A7C"/>
    <w:rPr>
      <w:i/>
      <w:iCs/>
    </w:rPr>
  </w:style>
  <w:style w:type="paragraph" w:styleId="IntenseQuote">
    <w:name w:val="Intense Quote"/>
    <w:basedOn w:val="Normal"/>
    <w:next w:val="Normal"/>
    <w:link w:val="IntenseQuoteChar"/>
    <w:uiPriority w:val="30"/>
    <w:qFormat/>
    <w:rsid w:val="00241A7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41A7C"/>
    <w:rPr>
      <w:b/>
      <w:bCs/>
      <w:i/>
      <w:iCs/>
    </w:rPr>
  </w:style>
  <w:style w:type="character" w:styleId="SubtleEmphasis">
    <w:name w:val="Subtle Emphasis"/>
    <w:uiPriority w:val="19"/>
    <w:qFormat/>
    <w:rsid w:val="00241A7C"/>
    <w:rPr>
      <w:i/>
      <w:iCs/>
    </w:rPr>
  </w:style>
  <w:style w:type="character" w:styleId="IntenseEmphasis">
    <w:name w:val="Intense Emphasis"/>
    <w:uiPriority w:val="21"/>
    <w:qFormat/>
    <w:rsid w:val="00241A7C"/>
    <w:rPr>
      <w:b/>
      <w:bCs/>
    </w:rPr>
  </w:style>
  <w:style w:type="character" w:styleId="SubtleReference">
    <w:name w:val="Subtle Reference"/>
    <w:uiPriority w:val="31"/>
    <w:qFormat/>
    <w:rsid w:val="00241A7C"/>
    <w:rPr>
      <w:smallCaps/>
    </w:rPr>
  </w:style>
  <w:style w:type="character" w:styleId="IntenseReference">
    <w:name w:val="Intense Reference"/>
    <w:uiPriority w:val="32"/>
    <w:qFormat/>
    <w:rsid w:val="00241A7C"/>
    <w:rPr>
      <w:smallCaps/>
      <w:spacing w:val="5"/>
      <w:u w:val="single"/>
    </w:rPr>
  </w:style>
  <w:style w:type="character" w:styleId="BookTitle">
    <w:name w:val="Book Title"/>
    <w:uiPriority w:val="33"/>
    <w:qFormat/>
    <w:rsid w:val="00241A7C"/>
    <w:rPr>
      <w:i/>
      <w:iCs/>
      <w:smallCaps/>
      <w:spacing w:val="5"/>
    </w:rPr>
  </w:style>
  <w:style w:type="paragraph" w:styleId="TOCHeading">
    <w:name w:val="TOC Heading"/>
    <w:basedOn w:val="Heading1"/>
    <w:next w:val="Normal"/>
    <w:uiPriority w:val="39"/>
    <w:unhideWhenUsed/>
    <w:qFormat/>
    <w:rsid w:val="00241A7C"/>
    <w:pPr>
      <w:outlineLvl w:val="9"/>
    </w:pPr>
    <w:rPr>
      <w:lang w:bidi="en-US"/>
    </w:rPr>
  </w:style>
  <w:style w:type="paragraph" w:customStyle="1" w:styleId="berschrift11">
    <w:name w:val="Überschrift 11"/>
    <w:basedOn w:val="Normal"/>
    <w:rsid w:val="00A41582"/>
    <w:pPr>
      <w:numPr>
        <w:numId w:val="6"/>
      </w:numPr>
    </w:pPr>
  </w:style>
  <w:style w:type="paragraph" w:customStyle="1" w:styleId="berschrift21">
    <w:name w:val="Überschrift 21"/>
    <w:basedOn w:val="Normal"/>
    <w:rsid w:val="00A41582"/>
    <w:pPr>
      <w:numPr>
        <w:ilvl w:val="1"/>
        <w:numId w:val="6"/>
      </w:numPr>
    </w:pPr>
  </w:style>
  <w:style w:type="paragraph" w:customStyle="1" w:styleId="berschrift31">
    <w:name w:val="Überschrift 31"/>
    <w:basedOn w:val="Normal"/>
    <w:rsid w:val="00A41582"/>
    <w:pPr>
      <w:numPr>
        <w:ilvl w:val="2"/>
        <w:numId w:val="6"/>
      </w:numPr>
    </w:pPr>
  </w:style>
  <w:style w:type="paragraph" w:customStyle="1" w:styleId="berschrift41">
    <w:name w:val="Überschrift 41"/>
    <w:basedOn w:val="Normal"/>
    <w:rsid w:val="00A41582"/>
    <w:pPr>
      <w:numPr>
        <w:ilvl w:val="3"/>
        <w:numId w:val="6"/>
      </w:numPr>
    </w:pPr>
  </w:style>
  <w:style w:type="paragraph" w:customStyle="1" w:styleId="berschrift51">
    <w:name w:val="Überschrift 51"/>
    <w:basedOn w:val="Normal"/>
    <w:rsid w:val="00A41582"/>
    <w:pPr>
      <w:numPr>
        <w:ilvl w:val="4"/>
        <w:numId w:val="6"/>
      </w:numPr>
    </w:pPr>
  </w:style>
  <w:style w:type="paragraph" w:customStyle="1" w:styleId="berschrift61">
    <w:name w:val="Überschrift 61"/>
    <w:basedOn w:val="Normal"/>
    <w:rsid w:val="00A41582"/>
    <w:pPr>
      <w:numPr>
        <w:ilvl w:val="5"/>
        <w:numId w:val="6"/>
      </w:numPr>
    </w:pPr>
  </w:style>
  <w:style w:type="paragraph" w:customStyle="1" w:styleId="berschrift71">
    <w:name w:val="Überschrift 71"/>
    <w:basedOn w:val="Normal"/>
    <w:rsid w:val="00A41582"/>
    <w:pPr>
      <w:numPr>
        <w:ilvl w:val="6"/>
        <w:numId w:val="6"/>
      </w:numPr>
    </w:pPr>
  </w:style>
  <w:style w:type="paragraph" w:customStyle="1" w:styleId="berschrift81">
    <w:name w:val="Überschrift 81"/>
    <w:basedOn w:val="Normal"/>
    <w:rsid w:val="00A41582"/>
    <w:pPr>
      <w:numPr>
        <w:ilvl w:val="7"/>
        <w:numId w:val="6"/>
      </w:numPr>
    </w:pPr>
  </w:style>
  <w:style w:type="paragraph" w:customStyle="1" w:styleId="berschrift91">
    <w:name w:val="Überschrift 91"/>
    <w:basedOn w:val="Normal"/>
    <w:rsid w:val="00A41582"/>
    <w:pPr>
      <w:numPr>
        <w:ilvl w:val="8"/>
        <w:numId w:val="6"/>
      </w:numPr>
    </w:pPr>
  </w:style>
  <w:style w:type="paragraph" w:styleId="Header">
    <w:name w:val="header"/>
    <w:basedOn w:val="Normal"/>
    <w:link w:val="HeaderChar"/>
    <w:uiPriority w:val="99"/>
    <w:unhideWhenUsed/>
    <w:rsid w:val="00A415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41582"/>
  </w:style>
  <w:style w:type="paragraph" w:styleId="Footer">
    <w:name w:val="footer"/>
    <w:basedOn w:val="Normal"/>
    <w:link w:val="FooterChar"/>
    <w:uiPriority w:val="99"/>
    <w:unhideWhenUsed/>
    <w:rsid w:val="00A415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41582"/>
  </w:style>
  <w:style w:type="paragraph" w:styleId="BalloonText">
    <w:name w:val="Balloon Text"/>
    <w:basedOn w:val="Normal"/>
    <w:link w:val="BalloonTextChar"/>
    <w:uiPriority w:val="99"/>
    <w:semiHidden/>
    <w:unhideWhenUsed/>
    <w:rsid w:val="00E809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9F8"/>
    <w:rPr>
      <w:rFonts w:ascii="Tahoma" w:hAnsi="Tahoma" w:cs="Tahoma"/>
      <w:sz w:val="16"/>
      <w:szCs w:val="16"/>
    </w:rPr>
  </w:style>
  <w:style w:type="paragraph" w:styleId="Caption">
    <w:name w:val="caption"/>
    <w:basedOn w:val="Normal"/>
    <w:next w:val="Normal"/>
    <w:uiPriority w:val="35"/>
    <w:unhideWhenUsed/>
    <w:rsid w:val="009C5763"/>
    <w:pPr>
      <w:spacing w:line="240" w:lineRule="auto"/>
      <w:jc w:val="both"/>
    </w:pPr>
    <w:rPr>
      <w:bCs/>
      <w:sz w:val="18"/>
      <w:szCs w:val="18"/>
    </w:rPr>
  </w:style>
  <w:style w:type="table" w:styleId="TableGrid">
    <w:name w:val="Table Grid"/>
    <w:basedOn w:val="TableNormal"/>
    <w:uiPriority w:val="59"/>
    <w:rsid w:val="00A304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03381"/>
    <w:rPr>
      <w:color w:val="808080"/>
    </w:rPr>
  </w:style>
  <w:style w:type="table" w:styleId="LightShading">
    <w:name w:val="Light Shading"/>
    <w:basedOn w:val="TableNormal"/>
    <w:uiPriority w:val="60"/>
    <w:rsid w:val="00F97E0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semiHidden/>
    <w:unhideWhenUsed/>
    <w:rsid w:val="005D3B31"/>
    <w:rPr>
      <w:sz w:val="16"/>
      <w:szCs w:val="16"/>
    </w:rPr>
  </w:style>
  <w:style w:type="paragraph" w:styleId="CommentText">
    <w:name w:val="annotation text"/>
    <w:basedOn w:val="Normal"/>
    <w:link w:val="CommentTextChar"/>
    <w:uiPriority w:val="99"/>
    <w:semiHidden/>
    <w:unhideWhenUsed/>
    <w:rsid w:val="005D3B31"/>
    <w:pPr>
      <w:spacing w:line="240" w:lineRule="auto"/>
    </w:pPr>
    <w:rPr>
      <w:sz w:val="20"/>
      <w:szCs w:val="20"/>
    </w:rPr>
  </w:style>
  <w:style w:type="character" w:customStyle="1" w:styleId="CommentTextChar">
    <w:name w:val="Comment Text Char"/>
    <w:basedOn w:val="DefaultParagraphFont"/>
    <w:link w:val="CommentText"/>
    <w:uiPriority w:val="99"/>
    <w:semiHidden/>
    <w:rsid w:val="005D3B31"/>
    <w:rPr>
      <w:sz w:val="20"/>
      <w:szCs w:val="20"/>
    </w:rPr>
  </w:style>
  <w:style w:type="paragraph" w:styleId="CommentSubject">
    <w:name w:val="annotation subject"/>
    <w:basedOn w:val="CommentText"/>
    <w:next w:val="CommentText"/>
    <w:link w:val="CommentSubjectChar"/>
    <w:uiPriority w:val="99"/>
    <w:semiHidden/>
    <w:unhideWhenUsed/>
    <w:rsid w:val="005D3B31"/>
    <w:rPr>
      <w:b/>
      <w:bCs/>
    </w:rPr>
  </w:style>
  <w:style w:type="character" w:customStyle="1" w:styleId="CommentSubjectChar">
    <w:name w:val="Comment Subject Char"/>
    <w:basedOn w:val="CommentTextChar"/>
    <w:link w:val="CommentSubject"/>
    <w:uiPriority w:val="99"/>
    <w:semiHidden/>
    <w:rsid w:val="005D3B31"/>
    <w:rPr>
      <w:b/>
      <w:bCs/>
      <w:sz w:val="20"/>
      <w:szCs w:val="20"/>
    </w:rPr>
  </w:style>
  <w:style w:type="character" w:styleId="Hyperlink">
    <w:name w:val="Hyperlink"/>
    <w:basedOn w:val="DefaultParagraphFont"/>
    <w:uiPriority w:val="99"/>
    <w:unhideWhenUsed/>
    <w:rsid w:val="006C111A"/>
    <w:rPr>
      <w:color w:val="0000FF" w:themeColor="hyperlink"/>
      <w:u w:val="single"/>
    </w:rPr>
  </w:style>
  <w:style w:type="paragraph" w:styleId="TOC1">
    <w:name w:val="toc 1"/>
    <w:basedOn w:val="Normal"/>
    <w:next w:val="Normal"/>
    <w:autoRedefine/>
    <w:uiPriority w:val="39"/>
    <w:unhideWhenUsed/>
    <w:rsid w:val="009F6D63"/>
    <w:pPr>
      <w:spacing w:after="100"/>
    </w:pPr>
  </w:style>
  <w:style w:type="paragraph" w:styleId="TOC2">
    <w:name w:val="toc 2"/>
    <w:basedOn w:val="Normal"/>
    <w:next w:val="Normal"/>
    <w:autoRedefine/>
    <w:uiPriority w:val="39"/>
    <w:unhideWhenUsed/>
    <w:rsid w:val="006B3A3D"/>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A3D"/>
    <w:pPr>
      <w:spacing w:after="80"/>
    </w:pPr>
  </w:style>
  <w:style w:type="paragraph" w:styleId="Heading1">
    <w:name w:val="heading 1"/>
    <w:basedOn w:val="Normal"/>
    <w:next w:val="Normal"/>
    <w:link w:val="Heading1Char"/>
    <w:uiPriority w:val="9"/>
    <w:qFormat/>
    <w:rsid w:val="006B3A3D"/>
    <w:pPr>
      <w:keepNext/>
      <w:numPr>
        <w:numId w:val="30"/>
      </w:numPr>
      <w:spacing w:before="36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241A7C"/>
    <w:pPr>
      <w:numPr>
        <w:ilvl w:val="1"/>
        <w:numId w:val="27"/>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41A7C"/>
    <w:pPr>
      <w:numPr>
        <w:ilvl w:val="2"/>
        <w:numId w:val="27"/>
      </w:num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41A7C"/>
    <w:pPr>
      <w:numPr>
        <w:ilvl w:val="3"/>
        <w:numId w:val="27"/>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41A7C"/>
    <w:pPr>
      <w:numPr>
        <w:ilvl w:val="4"/>
        <w:numId w:val="27"/>
      </w:num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41A7C"/>
    <w:pPr>
      <w:numPr>
        <w:ilvl w:val="5"/>
        <w:numId w:val="27"/>
      </w:num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41A7C"/>
    <w:pPr>
      <w:numPr>
        <w:ilvl w:val="6"/>
        <w:numId w:val="27"/>
      </w:num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41A7C"/>
    <w:pPr>
      <w:numPr>
        <w:ilvl w:val="7"/>
        <w:numId w:val="27"/>
      </w:num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41A7C"/>
    <w:pPr>
      <w:numPr>
        <w:ilvl w:val="8"/>
        <w:numId w:val="27"/>
      </w:num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A3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241A7C"/>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41A7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41A7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41A7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41A7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41A7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41A7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41A7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41A7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41A7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41A7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41A7C"/>
    <w:rPr>
      <w:rFonts w:asciiTheme="majorHAnsi" w:eastAsiaTheme="majorEastAsia" w:hAnsiTheme="majorHAnsi" w:cstheme="majorBidi"/>
      <w:i/>
      <w:iCs/>
      <w:spacing w:val="13"/>
      <w:sz w:val="24"/>
      <w:szCs w:val="24"/>
    </w:rPr>
  </w:style>
  <w:style w:type="character" w:styleId="Strong">
    <w:name w:val="Strong"/>
    <w:uiPriority w:val="22"/>
    <w:qFormat/>
    <w:rsid w:val="00241A7C"/>
    <w:rPr>
      <w:b/>
      <w:bCs/>
    </w:rPr>
  </w:style>
  <w:style w:type="character" w:styleId="Emphasis">
    <w:name w:val="Emphasis"/>
    <w:uiPriority w:val="20"/>
    <w:qFormat/>
    <w:rsid w:val="00241A7C"/>
    <w:rPr>
      <w:b/>
      <w:bCs/>
      <w:i/>
      <w:iCs/>
      <w:spacing w:val="10"/>
      <w:bdr w:val="none" w:sz="0" w:space="0" w:color="auto"/>
      <w:shd w:val="clear" w:color="auto" w:fill="auto"/>
    </w:rPr>
  </w:style>
  <w:style w:type="paragraph" w:styleId="NoSpacing">
    <w:name w:val="No Spacing"/>
    <w:basedOn w:val="Normal"/>
    <w:uiPriority w:val="1"/>
    <w:qFormat/>
    <w:rsid w:val="00241A7C"/>
    <w:pPr>
      <w:spacing w:after="0" w:line="240" w:lineRule="auto"/>
    </w:pPr>
  </w:style>
  <w:style w:type="paragraph" w:styleId="ListParagraph">
    <w:name w:val="List Paragraph"/>
    <w:basedOn w:val="Normal"/>
    <w:uiPriority w:val="34"/>
    <w:qFormat/>
    <w:rsid w:val="00241A7C"/>
    <w:pPr>
      <w:ind w:left="720"/>
      <w:contextualSpacing/>
    </w:pPr>
  </w:style>
  <w:style w:type="paragraph" w:styleId="Quote">
    <w:name w:val="Quote"/>
    <w:basedOn w:val="Normal"/>
    <w:next w:val="Normal"/>
    <w:link w:val="QuoteChar"/>
    <w:uiPriority w:val="29"/>
    <w:qFormat/>
    <w:rsid w:val="00241A7C"/>
    <w:pPr>
      <w:spacing w:before="200" w:after="0"/>
      <w:ind w:left="360" w:right="360"/>
    </w:pPr>
    <w:rPr>
      <w:i/>
      <w:iCs/>
    </w:rPr>
  </w:style>
  <w:style w:type="character" w:customStyle="1" w:styleId="QuoteChar">
    <w:name w:val="Quote Char"/>
    <w:basedOn w:val="DefaultParagraphFont"/>
    <w:link w:val="Quote"/>
    <w:uiPriority w:val="29"/>
    <w:rsid w:val="00241A7C"/>
    <w:rPr>
      <w:i/>
      <w:iCs/>
    </w:rPr>
  </w:style>
  <w:style w:type="paragraph" w:styleId="IntenseQuote">
    <w:name w:val="Intense Quote"/>
    <w:basedOn w:val="Normal"/>
    <w:next w:val="Normal"/>
    <w:link w:val="IntenseQuoteChar"/>
    <w:uiPriority w:val="30"/>
    <w:qFormat/>
    <w:rsid w:val="00241A7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41A7C"/>
    <w:rPr>
      <w:b/>
      <w:bCs/>
      <w:i/>
      <w:iCs/>
    </w:rPr>
  </w:style>
  <w:style w:type="character" w:styleId="SubtleEmphasis">
    <w:name w:val="Subtle Emphasis"/>
    <w:uiPriority w:val="19"/>
    <w:qFormat/>
    <w:rsid w:val="00241A7C"/>
    <w:rPr>
      <w:i/>
      <w:iCs/>
    </w:rPr>
  </w:style>
  <w:style w:type="character" w:styleId="IntenseEmphasis">
    <w:name w:val="Intense Emphasis"/>
    <w:uiPriority w:val="21"/>
    <w:qFormat/>
    <w:rsid w:val="00241A7C"/>
    <w:rPr>
      <w:b/>
      <w:bCs/>
    </w:rPr>
  </w:style>
  <w:style w:type="character" w:styleId="SubtleReference">
    <w:name w:val="Subtle Reference"/>
    <w:uiPriority w:val="31"/>
    <w:qFormat/>
    <w:rsid w:val="00241A7C"/>
    <w:rPr>
      <w:smallCaps/>
    </w:rPr>
  </w:style>
  <w:style w:type="character" w:styleId="IntenseReference">
    <w:name w:val="Intense Reference"/>
    <w:uiPriority w:val="32"/>
    <w:qFormat/>
    <w:rsid w:val="00241A7C"/>
    <w:rPr>
      <w:smallCaps/>
      <w:spacing w:val="5"/>
      <w:u w:val="single"/>
    </w:rPr>
  </w:style>
  <w:style w:type="character" w:styleId="BookTitle">
    <w:name w:val="Book Title"/>
    <w:uiPriority w:val="33"/>
    <w:qFormat/>
    <w:rsid w:val="00241A7C"/>
    <w:rPr>
      <w:i/>
      <w:iCs/>
      <w:smallCaps/>
      <w:spacing w:val="5"/>
    </w:rPr>
  </w:style>
  <w:style w:type="paragraph" w:styleId="TOCHeading">
    <w:name w:val="TOC Heading"/>
    <w:basedOn w:val="Heading1"/>
    <w:next w:val="Normal"/>
    <w:uiPriority w:val="39"/>
    <w:unhideWhenUsed/>
    <w:qFormat/>
    <w:rsid w:val="00241A7C"/>
    <w:pPr>
      <w:outlineLvl w:val="9"/>
    </w:pPr>
    <w:rPr>
      <w:lang w:bidi="en-US"/>
    </w:rPr>
  </w:style>
  <w:style w:type="paragraph" w:customStyle="1" w:styleId="berschrift11">
    <w:name w:val="Überschrift 11"/>
    <w:basedOn w:val="Normal"/>
    <w:rsid w:val="00A41582"/>
    <w:pPr>
      <w:numPr>
        <w:numId w:val="6"/>
      </w:numPr>
    </w:pPr>
  </w:style>
  <w:style w:type="paragraph" w:customStyle="1" w:styleId="berschrift21">
    <w:name w:val="Überschrift 21"/>
    <w:basedOn w:val="Normal"/>
    <w:rsid w:val="00A41582"/>
    <w:pPr>
      <w:numPr>
        <w:ilvl w:val="1"/>
        <w:numId w:val="6"/>
      </w:numPr>
    </w:pPr>
  </w:style>
  <w:style w:type="paragraph" w:customStyle="1" w:styleId="berschrift31">
    <w:name w:val="Überschrift 31"/>
    <w:basedOn w:val="Normal"/>
    <w:rsid w:val="00A41582"/>
    <w:pPr>
      <w:numPr>
        <w:ilvl w:val="2"/>
        <w:numId w:val="6"/>
      </w:numPr>
    </w:pPr>
  </w:style>
  <w:style w:type="paragraph" w:customStyle="1" w:styleId="berschrift41">
    <w:name w:val="Überschrift 41"/>
    <w:basedOn w:val="Normal"/>
    <w:rsid w:val="00A41582"/>
    <w:pPr>
      <w:numPr>
        <w:ilvl w:val="3"/>
        <w:numId w:val="6"/>
      </w:numPr>
    </w:pPr>
  </w:style>
  <w:style w:type="paragraph" w:customStyle="1" w:styleId="berschrift51">
    <w:name w:val="Überschrift 51"/>
    <w:basedOn w:val="Normal"/>
    <w:rsid w:val="00A41582"/>
    <w:pPr>
      <w:numPr>
        <w:ilvl w:val="4"/>
        <w:numId w:val="6"/>
      </w:numPr>
    </w:pPr>
  </w:style>
  <w:style w:type="paragraph" w:customStyle="1" w:styleId="berschrift61">
    <w:name w:val="Überschrift 61"/>
    <w:basedOn w:val="Normal"/>
    <w:rsid w:val="00A41582"/>
    <w:pPr>
      <w:numPr>
        <w:ilvl w:val="5"/>
        <w:numId w:val="6"/>
      </w:numPr>
    </w:pPr>
  </w:style>
  <w:style w:type="paragraph" w:customStyle="1" w:styleId="berschrift71">
    <w:name w:val="Überschrift 71"/>
    <w:basedOn w:val="Normal"/>
    <w:rsid w:val="00A41582"/>
    <w:pPr>
      <w:numPr>
        <w:ilvl w:val="6"/>
        <w:numId w:val="6"/>
      </w:numPr>
    </w:pPr>
  </w:style>
  <w:style w:type="paragraph" w:customStyle="1" w:styleId="berschrift81">
    <w:name w:val="Überschrift 81"/>
    <w:basedOn w:val="Normal"/>
    <w:rsid w:val="00A41582"/>
    <w:pPr>
      <w:numPr>
        <w:ilvl w:val="7"/>
        <w:numId w:val="6"/>
      </w:numPr>
    </w:pPr>
  </w:style>
  <w:style w:type="paragraph" w:customStyle="1" w:styleId="berschrift91">
    <w:name w:val="Überschrift 91"/>
    <w:basedOn w:val="Normal"/>
    <w:rsid w:val="00A41582"/>
    <w:pPr>
      <w:numPr>
        <w:ilvl w:val="8"/>
        <w:numId w:val="6"/>
      </w:numPr>
    </w:pPr>
  </w:style>
  <w:style w:type="paragraph" w:styleId="Header">
    <w:name w:val="header"/>
    <w:basedOn w:val="Normal"/>
    <w:link w:val="HeaderChar"/>
    <w:uiPriority w:val="99"/>
    <w:unhideWhenUsed/>
    <w:rsid w:val="00A415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41582"/>
  </w:style>
  <w:style w:type="paragraph" w:styleId="Footer">
    <w:name w:val="footer"/>
    <w:basedOn w:val="Normal"/>
    <w:link w:val="FooterChar"/>
    <w:uiPriority w:val="99"/>
    <w:unhideWhenUsed/>
    <w:rsid w:val="00A415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41582"/>
  </w:style>
  <w:style w:type="paragraph" w:styleId="BalloonText">
    <w:name w:val="Balloon Text"/>
    <w:basedOn w:val="Normal"/>
    <w:link w:val="BalloonTextChar"/>
    <w:uiPriority w:val="99"/>
    <w:semiHidden/>
    <w:unhideWhenUsed/>
    <w:rsid w:val="00E809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9F8"/>
    <w:rPr>
      <w:rFonts w:ascii="Tahoma" w:hAnsi="Tahoma" w:cs="Tahoma"/>
      <w:sz w:val="16"/>
      <w:szCs w:val="16"/>
    </w:rPr>
  </w:style>
  <w:style w:type="paragraph" w:styleId="Caption">
    <w:name w:val="caption"/>
    <w:basedOn w:val="Normal"/>
    <w:next w:val="Normal"/>
    <w:uiPriority w:val="35"/>
    <w:unhideWhenUsed/>
    <w:rsid w:val="009C5763"/>
    <w:pPr>
      <w:spacing w:line="240" w:lineRule="auto"/>
      <w:jc w:val="both"/>
    </w:pPr>
    <w:rPr>
      <w:bCs/>
      <w:sz w:val="18"/>
      <w:szCs w:val="18"/>
    </w:rPr>
  </w:style>
  <w:style w:type="table" w:styleId="TableGrid">
    <w:name w:val="Table Grid"/>
    <w:basedOn w:val="TableNormal"/>
    <w:uiPriority w:val="59"/>
    <w:rsid w:val="00A304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03381"/>
    <w:rPr>
      <w:color w:val="808080"/>
    </w:rPr>
  </w:style>
  <w:style w:type="table" w:styleId="LightShading">
    <w:name w:val="Light Shading"/>
    <w:basedOn w:val="TableNormal"/>
    <w:uiPriority w:val="60"/>
    <w:rsid w:val="00F97E0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uiPriority w:val="99"/>
    <w:semiHidden/>
    <w:unhideWhenUsed/>
    <w:rsid w:val="005D3B31"/>
    <w:rPr>
      <w:sz w:val="16"/>
      <w:szCs w:val="16"/>
    </w:rPr>
  </w:style>
  <w:style w:type="paragraph" w:styleId="CommentText">
    <w:name w:val="annotation text"/>
    <w:basedOn w:val="Normal"/>
    <w:link w:val="CommentTextChar"/>
    <w:uiPriority w:val="99"/>
    <w:semiHidden/>
    <w:unhideWhenUsed/>
    <w:rsid w:val="005D3B31"/>
    <w:pPr>
      <w:spacing w:line="240" w:lineRule="auto"/>
    </w:pPr>
    <w:rPr>
      <w:sz w:val="20"/>
      <w:szCs w:val="20"/>
    </w:rPr>
  </w:style>
  <w:style w:type="character" w:customStyle="1" w:styleId="CommentTextChar">
    <w:name w:val="Comment Text Char"/>
    <w:basedOn w:val="DefaultParagraphFont"/>
    <w:link w:val="CommentText"/>
    <w:uiPriority w:val="99"/>
    <w:semiHidden/>
    <w:rsid w:val="005D3B31"/>
    <w:rPr>
      <w:sz w:val="20"/>
      <w:szCs w:val="20"/>
    </w:rPr>
  </w:style>
  <w:style w:type="paragraph" w:styleId="CommentSubject">
    <w:name w:val="annotation subject"/>
    <w:basedOn w:val="CommentText"/>
    <w:next w:val="CommentText"/>
    <w:link w:val="CommentSubjectChar"/>
    <w:uiPriority w:val="99"/>
    <w:semiHidden/>
    <w:unhideWhenUsed/>
    <w:rsid w:val="005D3B31"/>
    <w:rPr>
      <w:b/>
      <w:bCs/>
    </w:rPr>
  </w:style>
  <w:style w:type="character" w:customStyle="1" w:styleId="CommentSubjectChar">
    <w:name w:val="Comment Subject Char"/>
    <w:basedOn w:val="CommentTextChar"/>
    <w:link w:val="CommentSubject"/>
    <w:uiPriority w:val="99"/>
    <w:semiHidden/>
    <w:rsid w:val="005D3B31"/>
    <w:rPr>
      <w:b/>
      <w:bCs/>
      <w:sz w:val="20"/>
      <w:szCs w:val="20"/>
    </w:rPr>
  </w:style>
  <w:style w:type="character" w:styleId="Hyperlink">
    <w:name w:val="Hyperlink"/>
    <w:basedOn w:val="DefaultParagraphFont"/>
    <w:uiPriority w:val="99"/>
    <w:unhideWhenUsed/>
    <w:rsid w:val="006C111A"/>
    <w:rPr>
      <w:color w:val="0000FF" w:themeColor="hyperlink"/>
      <w:u w:val="single"/>
    </w:rPr>
  </w:style>
  <w:style w:type="paragraph" w:styleId="TOC1">
    <w:name w:val="toc 1"/>
    <w:basedOn w:val="Normal"/>
    <w:next w:val="Normal"/>
    <w:autoRedefine/>
    <w:uiPriority w:val="39"/>
    <w:unhideWhenUsed/>
    <w:rsid w:val="009F6D63"/>
    <w:pPr>
      <w:spacing w:after="100"/>
    </w:pPr>
  </w:style>
  <w:style w:type="paragraph" w:styleId="TOC2">
    <w:name w:val="toc 2"/>
    <w:basedOn w:val="Normal"/>
    <w:next w:val="Normal"/>
    <w:autoRedefine/>
    <w:uiPriority w:val="39"/>
    <w:unhideWhenUsed/>
    <w:rsid w:val="006B3A3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bas.nilu.no"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37296-76CF-4B0D-9A7A-E94FA3132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2648</Words>
  <Characters>15098</Characters>
  <Application>Microsoft Office Word</Application>
  <DocSecurity>0</DocSecurity>
  <Lines>125</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HZG</Company>
  <LinksUpToDate>false</LinksUpToDate>
  <CharactersWithSpaces>17711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Neumann</dc:creator>
  <cp:lastModifiedBy>Daniel Neumann</cp:lastModifiedBy>
  <cp:revision>26</cp:revision>
  <cp:lastPrinted>2015-01-07T16:22:00Z</cp:lastPrinted>
  <dcterms:created xsi:type="dcterms:W3CDTF">2015-09-25T11:57:00Z</dcterms:created>
  <dcterms:modified xsi:type="dcterms:W3CDTF">2016-02-03T09:29:00Z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daniel.neumann@hzg.de@www.mendeley.com</vt:lpwstr>
  </property>
  <property fmtid="{D5CDD505-2E9C-101B-9397-08002B2CF9AE}" pid="4" name="Mendeley Citation Style_1">
    <vt:lpwstr>http://www.zotero.org/styles/harvard1</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