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4A1292" w14:textId="77777777" w:rsidR="00A33F5E" w:rsidRPr="00C23AEC" w:rsidRDefault="00A33F5E" w:rsidP="00A33F5E">
      <w:pPr>
        <w:pStyle w:val="BATitle"/>
        <w:spacing w:before="0" w:after="0"/>
        <w:rPr>
          <w:b/>
          <w:sz w:val="28"/>
          <w:szCs w:val="28"/>
        </w:rPr>
      </w:pPr>
      <w:bookmarkStart w:id="0" w:name="OLE_LINK1"/>
      <w:bookmarkStart w:id="1" w:name="_GoBack"/>
      <w:bookmarkEnd w:id="1"/>
      <w:r>
        <w:rPr>
          <w:b/>
          <w:sz w:val="28"/>
          <w:szCs w:val="28"/>
        </w:rPr>
        <w:t>A s</w:t>
      </w:r>
      <w:r w:rsidRPr="00C23AEC">
        <w:rPr>
          <w:b/>
          <w:sz w:val="28"/>
          <w:szCs w:val="28"/>
        </w:rPr>
        <w:t>ub-decadal trend o</w:t>
      </w:r>
      <w:r>
        <w:rPr>
          <w:b/>
          <w:sz w:val="28"/>
          <w:szCs w:val="28"/>
        </w:rPr>
        <w:t>f diacids</w:t>
      </w:r>
      <w:r w:rsidRPr="00C23AEC">
        <w:rPr>
          <w:b/>
          <w:sz w:val="28"/>
          <w:szCs w:val="28"/>
        </w:rPr>
        <w:t xml:space="preserve"> in atmospheric aerosols in East Asia</w:t>
      </w:r>
    </w:p>
    <w:bookmarkEnd w:id="0"/>
    <w:p w14:paraId="56B725B5" w14:textId="77777777" w:rsidR="00A33F5E" w:rsidRPr="00B64367" w:rsidRDefault="00A33F5E" w:rsidP="00A33F5E">
      <w:pPr>
        <w:pStyle w:val="BBAuthorName"/>
        <w:jc w:val="left"/>
        <w:rPr>
          <w:rFonts w:ascii="Times New Roman" w:hAnsi="Times New Roman"/>
          <w:i w:val="0"/>
          <w:szCs w:val="24"/>
        </w:rPr>
      </w:pPr>
      <w:r w:rsidRPr="00B64367">
        <w:rPr>
          <w:rFonts w:ascii="Times New Roman" w:hAnsi="Times New Roman"/>
          <w:i w:val="0"/>
          <w:szCs w:val="24"/>
        </w:rPr>
        <w:t>S</w:t>
      </w:r>
      <w:r>
        <w:rPr>
          <w:rFonts w:ascii="Times New Roman" w:hAnsi="Times New Roman"/>
          <w:i w:val="0"/>
          <w:szCs w:val="24"/>
        </w:rPr>
        <w:t>.</w:t>
      </w:r>
      <w:r w:rsidRPr="00B64367">
        <w:rPr>
          <w:rFonts w:ascii="Times New Roman" w:hAnsi="Times New Roman"/>
          <w:i w:val="0"/>
          <w:szCs w:val="24"/>
        </w:rPr>
        <w:t xml:space="preserve"> Kundu</w:t>
      </w:r>
      <w:r>
        <w:rPr>
          <w:rFonts w:ascii="Times New Roman" w:hAnsi="Times New Roman"/>
          <w:i w:val="0"/>
          <w:szCs w:val="24"/>
          <w:vertAlign w:val="superscript"/>
        </w:rPr>
        <w:t>1,*</w:t>
      </w:r>
      <w:r>
        <w:rPr>
          <w:rFonts w:ascii="Times New Roman" w:hAnsi="Times New Roman"/>
          <w:i w:val="0"/>
          <w:szCs w:val="24"/>
        </w:rPr>
        <w:t>, K.</w:t>
      </w:r>
      <w:r w:rsidRPr="00B64367">
        <w:rPr>
          <w:rFonts w:ascii="Times New Roman" w:hAnsi="Times New Roman"/>
          <w:i w:val="0"/>
          <w:szCs w:val="24"/>
        </w:rPr>
        <w:t xml:space="preserve"> Kawamura</w:t>
      </w:r>
      <w:r>
        <w:rPr>
          <w:rFonts w:ascii="Times New Roman" w:hAnsi="Times New Roman"/>
          <w:i w:val="0"/>
          <w:szCs w:val="24"/>
          <w:vertAlign w:val="superscript"/>
        </w:rPr>
        <w:t>1</w:t>
      </w:r>
      <w:r>
        <w:rPr>
          <w:rFonts w:ascii="Times New Roman" w:hAnsi="Times New Roman"/>
          <w:i w:val="0"/>
          <w:szCs w:val="24"/>
        </w:rPr>
        <w:t>, M.</w:t>
      </w:r>
      <w:r w:rsidRPr="00B64367">
        <w:rPr>
          <w:rFonts w:ascii="Times New Roman" w:hAnsi="Times New Roman"/>
          <w:i w:val="0"/>
          <w:szCs w:val="24"/>
        </w:rPr>
        <w:t xml:space="preserve"> Kobayashi</w:t>
      </w:r>
      <w:r>
        <w:rPr>
          <w:rFonts w:ascii="Times New Roman" w:hAnsi="Times New Roman"/>
          <w:i w:val="0"/>
          <w:szCs w:val="24"/>
          <w:vertAlign w:val="superscript"/>
        </w:rPr>
        <w:t>1</w:t>
      </w:r>
      <w:r>
        <w:rPr>
          <w:rFonts w:ascii="Times New Roman" w:hAnsi="Times New Roman"/>
          <w:i w:val="0"/>
          <w:szCs w:val="24"/>
        </w:rPr>
        <w:t>, E. Tachibana</w:t>
      </w:r>
      <w:r>
        <w:rPr>
          <w:rFonts w:ascii="Times New Roman" w:hAnsi="Times New Roman"/>
          <w:i w:val="0"/>
          <w:szCs w:val="24"/>
          <w:vertAlign w:val="superscript"/>
        </w:rPr>
        <w:t>1</w:t>
      </w:r>
      <w:r>
        <w:rPr>
          <w:rFonts w:ascii="Times New Roman" w:hAnsi="Times New Roman"/>
          <w:i w:val="0"/>
          <w:szCs w:val="24"/>
        </w:rPr>
        <w:t>, M.</w:t>
      </w:r>
      <w:r w:rsidRPr="00B64367">
        <w:rPr>
          <w:rFonts w:ascii="Times New Roman" w:hAnsi="Times New Roman"/>
          <w:i w:val="0"/>
          <w:szCs w:val="24"/>
        </w:rPr>
        <w:t xml:space="preserve"> Lee</w:t>
      </w:r>
      <w:r>
        <w:rPr>
          <w:rFonts w:ascii="Times New Roman" w:hAnsi="Times New Roman"/>
          <w:i w:val="0"/>
          <w:szCs w:val="24"/>
          <w:vertAlign w:val="superscript"/>
        </w:rPr>
        <w:t>2</w:t>
      </w:r>
      <w:r>
        <w:rPr>
          <w:rFonts w:ascii="Times New Roman" w:hAnsi="Times New Roman"/>
          <w:i w:val="0"/>
          <w:szCs w:val="24"/>
        </w:rPr>
        <w:t xml:space="preserve">, </w:t>
      </w:r>
      <w:r w:rsidRPr="00634ED4">
        <w:rPr>
          <w:rFonts w:ascii="Times New Roman" w:hAnsi="Times New Roman"/>
          <w:i w:val="0"/>
          <w:color w:val="000000" w:themeColor="text1"/>
          <w:szCs w:val="24"/>
        </w:rPr>
        <w:t>P</w:t>
      </w:r>
      <w:r>
        <w:rPr>
          <w:rFonts w:ascii="Times New Roman" w:hAnsi="Times New Roman"/>
          <w:i w:val="0"/>
          <w:color w:val="000000" w:themeColor="text1"/>
          <w:szCs w:val="24"/>
        </w:rPr>
        <w:t>.</w:t>
      </w:r>
      <w:r w:rsidRPr="00634ED4">
        <w:rPr>
          <w:rFonts w:ascii="Times New Roman" w:hAnsi="Times New Roman"/>
          <w:i w:val="0"/>
          <w:color w:val="000000" w:themeColor="text1"/>
          <w:szCs w:val="24"/>
        </w:rPr>
        <w:t xml:space="preserve"> Fu</w:t>
      </w:r>
      <w:r>
        <w:rPr>
          <w:rFonts w:ascii="Times New Roman" w:hAnsi="Times New Roman"/>
          <w:i w:val="0"/>
          <w:color w:val="000000" w:themeColor="text1"/>
          <w:szCs w:val="24"/>
          <w:vertAlign w:val="superscript"/>
        </w:rPr>
        <w:t>1</w:t>
      </w:r>
      <w:proofErr w:type="gramStart"/>
      <w:r>
        <w:rPr>
          <w:rFonts w:ascii="Times New Roman" w:hAnsi="Times New Roman"/>
          <w:i w:val="0"/>
          <w:color w:val="000000" w:themeColor="text1"/>
          <w:szCs w:val="24"/>
          <w:vertAlign w:val="superscript"/>
        </w:rPr>
        <w:t>,3</w:t>
      </w:r>
      <w:proofErr w:type="gramEnd"/>
      <w:r w:rsidRPr="00634ED4">
        <w:rPr>
          <w:rFonts w:ascii="Times New Roman" w:hAnsi="Times New Roman"/>
          <w:i w:val="0"/>
          <w:szCs w:val="24"/>
        </w:rPr>
        <w:t>,</w:t>
      </w:r>
      <w:r>
        <w:rPr>
          <w:rFonts w:ascii="Times New Roman" w:hAnsi="Times New Roman"/>
          <w:i w:val="0"/>
          <w:szCs w:val="24"/>
        </w:rPr>
        <w:t xml:space="preserve"> and J. Jung</w:t>
      </w:r>
      <w:r w:rsidRPr="002B03FA">
        <w:rPr>
          <w:rFonts w:ascii="Times New Roman" w:hAnsi="Times New Roman"/>
          <w:i w:val="0"/>
          <w:szCs w:val="24"/>
          <w:vertAlign w:val="superscript"/>
        </w:rPr>
        <w:t>1,</w:t>
      </w:r>
      <w:r>
        <w:rPr>
          <w:rFonts w:ascii="Times New Roman" w:hAnsi="Times New Roman"/>
          <w:i w:val="0"/>
          <w:szCs w:val="24"/>
          <w:vertAlign w:val="superscript"/>
        </w:rPr>
        <w:t>4</w:t>
      </w:r>
    </w:p>
    <w:p w14:paraId="4B2E7336" w14:textId="77777777" w:rsidR="00A33F5E" w:rsidRPr="00B64367" w:rsidRDefault="00A33F5E" w:rsidP="00A33F5E">
      <w:pPr>
        <w:spacing w:after="0" w:line="480" w:lineRule="auto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vertAlign w:val="superscript"/>
        </w:rPr>
        <w:t>1</w:t>
      </w:r>
      <w:r w:rsidRPr="00B64367">
        <w:rPr>
          <w:rFonts w:ascii="Times New Roman" w:hAnsi="Times New Roman"/>
          <w:szCs w:val="24"/>
        </w:rPr>
        <w:t>Institute of Low Temperature Science, Hokkaido University, Sapporo</w:t>
      </w:r>
      <w:r>
        <w:rPr>
          <w:rFonts w:ascii="Times New Roman" w:hAnsi="Times New Roman"/>
          <w:szCs w:val="24"/>
        </w:rPr>
        <w:t xml:space="preserve"> 060-0819</w:t>
      </w:r>
      <w:r w:rsidRPr="00B64367">
        <w:rPr>
          <w:rFonts w:ascii="Times New Roman" w:hAnsi="Times New Roman"/>
          <w:szCs w:val="24"/>
        </w:rPr>
        <w:t>, Japan</w:t>
      </w:r>
    </w:p>
    <w:p w14:paraId="5006AC04" w14:textId="77777777" w:rsidR="00A33F5E" w:rsidRDefault="00A33F5E" w:rsidP="00A33F5E">
      <w:pPr>
        <w:autoSpaceDE w:val="0"/>
        <w:autoSpaceDN w:val="0"/>
        <w:adjustRightInd w:val="0"/>
        <w:spacing w:after="0" w:line="480" w:lineRule="auto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vertAlign w:val="superscript"/>
        </w:rPr>
        <w:t>2</w:t>
      </w:r>
      <w:r>
        <w:rPr>
          <w:rFonts w:ascii="Times New Roman" w:hAnsi="Times New Roman"/>
          <w:szCs w:val="24"/>
        </w:rPr>
        <w:t>Department of Earth and</w:t>
      </w:r>
      <w:r w:rsidRPr="00B64367">
        <w:rPr>
          <w:rFonts w:ascii="Times New Roman" w:hAnsi="Times New Roman"/>
          <w:szCs w:val="24"/>
        </w:rPr>
        <w:t xml:space="preserve"> Environm</w:t>
      </w:r>
      <w:r>
        <w:rPr>
          <w:rFonts w:ascii="Times New Roman" w:hAnsi="Times New Roman"/>
          <w:szCs w:val="24"/>
        </w:rPr>
        <w:t>ental</w:t>
      </w:r>
      <w:r w:rsidRPr="00B64367">
        <w:rPr>
          <w:rFonts w:ascii="Times New Roman" w:hAnsi="Times New Roman"/>
          <w:szCs w:val="24"/>
        </w:rPr>
        <w:t xml:space="preserve"> Sci</w:t>
      </w:r>
      <w:r>
        <w:rPr>
          <w:rFonts w:ascii="Times New Roman" w:hAnsi="Times New Roman"/>
          <w:szCs w:val="24"/>
        </w:rPr>
        <w:t>ence</w:t>
      </w:r>
      <w:r w:rsidRPr="00B64367">
        <w:rPr>
          <w:rFonts w:ascii="Times New Roman" w:hAnsi="Times New Roman"/>
          <w:szCs w:val="24"/>
        </w:rPr>
        <w:t>,</w:t>
      </w:r>
      <w:r>
        <w:rPr>
          <w:rFonts w:ascii="Times New Roman" w:hAnsi="Times New Roman"/>
          <w:szCs w:val="24"/>
        </w:rPr>
        <w:t xml:space="preserve"> Korea University,</w:t>
      </w:r>
      <w:r w:rsidRPr="00B64367">
        <w:rPr>
          <w:rFonts w:ascii="Times New Roman" w:hAnsi="Times New Roman"/>
          <w:szCs w:val="24"/>
        </w:rPr>
        <w:t xml:space="preserve"> Seoul 136</w:t>
      </w:r>
      <w:r>
        <w:rPr>
          <w:rFonts w:ascii="Times New Roman" w:hAnsi="Times New Roman"/>
          <w:szCs w:val="24"/>
        </w:rPr>
        <w:t>-</w:t>
      </w:r>
      <w:r w:rsidRPr="00B64367">
        <w:rPr>
          <w:rFonts w:ascii="Times New Roman" w:hAnsi="Times New Roman"/>
          <w:szCs w:val="24"/>
        </w:rPr>
        <w:t>701, South Korea</w:t>
      </w:r>
    </w:p>
    <w:p w14:paraId="2B0207A5" w14:textId="77777777" w:rsidR="00A33F5E" w:rsidRPr="00A33F5E" w:rsidRDefault="00A33F5E" w:rsidP="00A33F5E">
      <w:pPr>
        <w:autoSpaceDE w:val="0"/>
        <w:autoSpaceDN w:val="0"/>
        <w:adjustRightInd w:val="0"/>
        <w:spacing w:after="0" w:line="480" w:lineRule="auto"/>
        <w:jc w:val="left"/>
        <w:rPr>
          <w:rFonts w:ascii="Times New Roman" w:hAnsi="Times New Roman"/>
          <w:szCs w:val="24"/>
        </w:rPr>
      </w:pPr>
      <w:r w:rsidRPr="00A33F5E">
        <w:rPr>
          <w:rFonts w:ascii="Times New Roman" w:hAnsi="Times New Roman"/>
          <w:szCs w:val="24"/>
          <w:vertAlign w:val="superscript"/>
        </w:rPr>
        <w:t>3</w:t>
      </w:r>
      <w:r w:rsidRPr="00A33F5E">
        <w:rPr>
          <w:rStyle w:val="HTMLTypewriter"/>
          <w:rFonts w:ascii="Times New Roman" w:eastAsiaTheme="minorEastAsia" w:hAnsi="Times New Roman"/>
          <w:color w:val="000000" w:themeColor="text1"/>
          <w:sz w:val="24"/>
          <w:szCs w:val="24"/>
        </w:rPr>
        <w:t>LAPC, Institute of Atmospheric Physics, Chinese Academy of Sciences, Beijing 100029, China</w:t>
      </w:r>
    </w:p>
    <w:p w14:paraId="07EC17E4" w14:textId="77777777" w:rsidR="00A33F5E" w:rsidRPr="00A33F5E" w:rsidRDefault="00A33F5E" w:rsidP="00A33F5E">
      <w:pPr>
        <w:autoSpaceDE w:val="0"/>
        <w:autoSpaceDN w:val="0"/>
        <w:adjustRightInd w:val="0"/>
        <w:spacing w:after="0" w:line="480" w:lineRule="auto"/>
        <w:jc w:val="left"/>
        <w:rPr>
          <w:rFonts w:ascii="Times New Roman" w:hAnsi="Times New Roman"/>
          <w:szCs w:val="24"/>
        </w:rPr>
      </w:pPr>
      <w:r w:rsidRPr="00A33F5E">
        <w:rPr>
          <w:rFonts w:ascii="Times New Roman" w:hAnsi="Times New Roman"/>
          <w:szCs w:val="24"/>
        </w:rPr>
        <w:t xml:space="preserve"> </w:t>
      </w:r>
      <w:r w:rsidRPr="00A33F5E">
        <w:rPr>
          <w:rStyle w:val="HTMLTypewriter"/>
          <w:rFonts w:ascii="Times New Roman" w:eastAsiaTheme="minorEastAsia" w:hAnsi="Times New Roman"/>
          <w:sz w:val="24"/>
          <w:szCs w:val="24"/>
          <w:vertAlign w:val="superscript"/>
        </w:rPr>
        <w:t>4</w:t>
      </w:r>
      <w:r w:rsidRPr="00A33F5E">
        <w:rPr>
          <w:rStyle w:val="HTMLTypewriter"/>
          <w:rFonts w:ascii="Times New Roman" w:eastAsiaTheme="minorEastAsia" w:hAnsi="Times New Roman"/>
          <w:sz w:val="24"/>
          <w:szCs w:val="24"/>
        </w:rPr>
        <w:t>Korea Research Institute of Standards and Science</w:t>
      </w:r>
      <w:r w:rsidRPr="00A33F5E">
        <w:rPr>
          <w:rFonts w:ascii="Times New Roman" w:hAnsi="Times New Roman"/>
          <w:szCs w:val="24"/>
        </w:rPr>
        <w:t xml:space="preserve">, </w:t>
      </w:r>
      <w:r w:rsidRPr="00A33F5E">
        <w:rPr>
          <w:rStyle w:val="HTMLTypewriter"/>
          <w:rFonts w:ascii="Times New Roman" w:eastAsiaTheme="minorEastAsia" w:hAnsi="Times New Roman"/>
          <w:sz w:val="24"/>
          <w:szCs w:val="24"/>
        </w:rPr>
        <w:t>Daejeon 305-340, South Korea</w:t>
      </w:r>
    </w:p>
    <w:p w14:paraId="075D3C3B" w14:textId="390B3E5A" w:rsidR="00032550" w:rsidRPr="00A33F5E" w:rsidRDefault="00A33F5E" w:rsidP="00A33F5E">
      <w:pPr>
        <w:spacing w:after="0" w:line="480" w:lineRule="auto"/>
        <w:jc w:val="left"/>
        <w:rPr>
          <w:szCs w:val="24"/>
        </w:rPr>
      </w:pPr>
      <w:r w:rsidRPr="00A33F5E">
        <w:rPr>
          <w:szCs w:val="24"/>
          <w:vertAlign w:val="superscript"/>
        </w:rPr>
        <w:t>*</w:t>
      </w:r>
      <w:r w:rsidRPr="00A33F5E">
        <w:rPr>
          <w:szCs w:val="24"/>
        </w:rPr>
        <w:t>To whom correspondence should be addressed. Email</w:t>
      </w:r>
      <w:r w:rsidRPr="00A33F5E">
        <w:rPr>
          <w:color w:val="000000" w:themeColor="text1"/>
          <w:szCs w:val="24"/>
        </w:rPr>
        <w:t xml:space="preserve">: </w:t>
      </w:r>
      <w:hyperlink r:id="rId4" w:history="1">
        <w:r w:rsidRPr="00A33F5E">
          <w:rPr>
            <w:rStyle w:val="Hyperlink"/>
            <w:color w:val="000000" w:themeColor="text1"/>
            <w:szCs w:val="24"/>
          </w:rPr>
          <w:t>skundu@pop.lowtem.hokudai.ac.jp</w:t>
        </w:r>
      </w:hyperlink>
      <w:r w:rsidR="00551421">
        <w:rPr>
          <w:rStyle w:val="Hyperlink"/>
          <w:color w:val="000000" w:themeColor="text1"/>
          <w:szCs w:val="24"/>
        </w:rPr>
        <w:t>; Phone: +81-</w:t>
      </w:r>
      <w:r w:rsidRPr="00A33F5E">
        <w:rPr>
          <w:rStyle w:val="Hyperlink"/>
          <w:color w:val="000000" w:themeColor="text1"/>
          <w:szCs w:val="24"/>
        </w:rPr>
        <w:t>80-4044-6146; Fax: +81-11-706-7142</w:t>
      </w:r>
    </w:p>
    <w:p w14:paraId="1EDC51F7" w14:textId="77777777" w:rsidR="00032550" w:rsidRDefault="00032550" w:rsidP="00032550">
      <w:pPr>
        <w:spacing w:after="0" w:line="480" w:lineRule="auto"/>
        <w:jc w:val="left"/>
      </w:pPr>
    </w:p>
    <w:p w14:paraId="054142DB" w14:textId="77777777" w:rsidR="00032550" w:rsidRDefault="00032550" w:rsidP="00032550">
      <w:pPr>
        <w:spacing w:after="0" w:line="480" w:lineRule="auto"/>
        <w:jc w:val="left"/>
      </w:pPr>
    </w:p>
    <w:tbl>
      <w:tblPr>
        <w:tblW w:w="9947" w:type="dxa"/>
        <w:tblLook w:val="04A0" w:firstRow="1" w:lastRow="0" w:firstColumn="1" w:lastColumn="0" w:noHBand="0" w:noVBand="1"/>
      </w:tblPr>
      <w:tblGrid>
        <w:gridCol w:w="1072"/>
        <w:gridCol w:w="1448"/>
        <w:gridCol w:w="1350"/>
        <w:gridCol w:w="1440"/>
        <w:gridCol w:w="1401"/>
        <w:gridCol w:w="1891"/>
        <w:gridCol w:w="1345"/>
      </w:tblGrid>
      <w:tr w:rsidR="000F0505" w:rsidRPr="000F0505" w14:paraId="48BF48C5" w14:textId="77777777" w:rsidTr="000F0505">
        <w:trPr>
          <w:trHeight w:val="315"/>
        </w:trPr>
        <w:tc>
          <w:tcPr>
            <w:tcW w:w="9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E8208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Cs w:val="24"/>
              </w:rPr>
            </w:pPr>
            <w:r w:rsidRPr="000F0505">
              <w:rPr>
                <w:rFonts w:ascii="Times New Roman" w:eastAsia="MS PGothic" w:hAnsi="Times New Roman"/>
                <w:b/>
                <w:bCs/>
                <w:szCs w:val="24"/>
              </w:rPr>
              <w:t>Table S1.</w:t>
            </w:r>
            <w:r w:rsidR="00032550">
              <w:rPr>
                <w:rFonts w:ascii="Times New Roman" w:eastAsia="MS PGothic" w:hAnsi="Times New Roman"/>
                <w:szCs w:val="24"/>
              </w:rPr>
              <w:t xml:space="preserve"> Correlations (r</w:t>
            </w:r>
            <w:r w:rsidR="00032550" w:rsidRPr="00032550">
              <w:rPr>
                <w:rFonts w:ascii="Times New Roman" w:eastAsia="MS PGothic" w:hAnsi="Times New Roman"/>
                <w:szCs w:val="24"/>
                <w:vertAlign w:val="superscript"/>
              </w:rPr>
              <w:t>2</w:t>
            </w:r>
            <w:r w:rsidR="00032550">
              <w:rPr>
                <w:rFonts w:ascii="Times New Roman" w:eastAsia="MS PGothic" w:hAnsi="Times New Roman"/>
                <w:szCs w:val="24"/>
              </w:rPr>
              <w:t xml:space="preserve">) of </w:t>
            </w:r>
            <w:r w:rsidRPr="000F0505">
              <w:rPr>
                <w:rFonts w:ascii="Times New Roman" w:eastAsia="MS PGothic" w:hAnsi="Times New Roman"/>
                <w:szCs w:val="24"/>
              </w:rPr>
              <w:t>the concentrations of selected major diacids with the studied years (2001 - 2008).</w:t>
            </w:r>
            <w:r w:rsidR="000A17DB">
              <w:rPr>
                <w:rFonts w:ascii="Times New Roman" w:eastAsia="MS PGothic" w:hAnsi="Times New Roman"/>
                <w:szCs w:val="24"/>
              </w:rPr>
              <w:t xml:space="preserve"> </w:t>
            </w:r>
            <w:r w:rsidR="00032550">
              <w:rPr>
                <w:rFonts w:ascii="Times New Roman" w:eastAsia="MS PGothic" w:hAnsi="Times New Roman"/>
                <w:szCs w:val="24"/>
              </w:rPr>
              <w:t xml:space="preserve">The </w:t>
            </w:r>
            <w:r w:rsidR="000A17DB" w:rsidRPr="000F0505">
              <w:rPr>
                <w:rFonts w:ascii="Times New Roman" w:eastAsia="MS PGothic" w:hAnsi="Times New Roman"/>
                <w:szCs w:val="24"/>
              </w:rPr>
              <w:t>r</w:t>
            </w:r>
            <w:r w:rsidR="000A17DB" w:rsidRPr="000F0505">
              <w:rPr>
                <w:rFonts w:ascii="Times New Roman" w:eastAsia="MS PGothic" w:hAnsi="Times New Roman"/>
                <w:szCs w:val="24"/>
                <w:vertAlign w:val="superscript"/>
              </w:rPr>
              <w:t>2</w:t>
            </w:r>
            <w:r w:rsidR="000A17DB" w:rsidRPr="000F0505">
              <w:rPr>
                <w:rFonts w:ascii="Times New Roman" w:eastAsia="MS PGothic" w:hAnsi="Times New Roman"/>
                <w:szCs w:val="24"/>
              </w:rPr>
              <w:t xml:space="preserve"> values were calculated by the linear regression</w:t>
            </w:r>
            <w:r w:rsidR="000A17DB">
              <w:rPr>
                <w:rFonts w:ascii="Times New Roman" w:eastAsia="MS PGothic" w:hAnsi="Times New Roman"/>
                <w:szCs w:val="24"/>
              </w:rPr>
              <w:t xml:space="preserve"> </w:t>
            </w:r>
            <w:r w:rsidR="000A17DB" w:rsidRPr="000F0505">
              <w:rPr>
                <w:rFonts w:ascii="Times New Roman" w:eastAsia="MS PGothic" w:hAnsi="Times New Roman"/>
                <w:szCs w:val="24"/>
              </w:rPr>
              <w:t>using least</w:t>
            </w:r>
            <w:r w:rsidR="00032550">
              <w:rPr>
                <w:rFonts w:ascii="Times New Roman" w:eastAsia="MS PGothic" w:hAnsi="Times New Roman"/>
                <w:szCs w:val="24"/>
              </w:rPr>
              <w:t xml:space="preserve"> squares. The values</w:t>
            </w:r>
          </w:p>
        </w:tc>
      </w:tr>
      <w:tr w:rsidR="000F0505" w:rsidRPr="000F0505" w14:paraId="502C46E3" w14:textId="77777777" w:rsidTr="000F0505">
        <w:trPr>
          <w:trHeight w:val="375"/>
        </w:trPr>
        <w:tc>
          <w:tcPr>
            <w:tcW w:w="9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77B90" w14:textId="77777777" w:rsidR="00B4316A" w:rsidRPr="000F0505" w:rsidRDefault="00032550" w:rsidP="000F0505">
            <w:pPr>
              <w:spacing w:after="0"/>
              <w:jc w:val="left"/>
              <w:rPr>
                <w:rFonts w:ascii="Times New Roman" w:eastAsia="MS PGothic" w:hAnsi="Times New Roman"/>
                <w:szCs w:val="24"/>
              </w:rPr>
            </w:pPr>
            <w:proofErr w:type="gramStart"/>
            <w:r>
              <w:rPr>
                <w:rFonts w:ascii="Times New Roman" w:eastAsia="MS PGothic" w:hAnsi="Times New Roman"/>
                <w:szCs w:val="24"/>
              </w:rPr>
              <w:t>in</w:t>
            </w:r>
            <w:proofErr w:type="gramEnd"/>
            <w:r>
              <w:rPr>
                <w:rFonts w:ascii="Times New Roman" w:eastAsia="MS PGothic" w:hAnsi="Times New Roman"/>
                <w:szCs w:val="24"/>
              </w:rPr>
              <w:t xml:space="preserve"> the </w:t>
            </w:r>
            <w:r w:rsidR="000F0505" w:rsidRPr="000F0505">
              <w:rPr>
                <w:rFonts w:ascii="Times New Roman" w:eastAsia="MS PGothic" w:hAnsi="Times New Roman"/>
                <w:szCs w:val="24"/>
              </w:rPr>
              <w:t>bracket</w:t>
            </w:r>
            <w:r>
              <w:rPr>
                <w:rFonts w:ascii="Times New Roman" w:eastAsia="MS PGothic" w:hAnsi="Times New Roman"/>
                <w:szCs w:val="24"/>
              </w:rPr>
              <w:t>s show</w:t>
            </w:r>
            <w:r w:rsidR="000F0505" w:rsidRPr="000F0505">
              <w:rPr>
                <w:rFonts w:ascii="Times New Roman" w:eastAsia="MS PGothic" w:hAnsi="Times New Roman"/>
                <w:szCs w:val="24"/>
              </w:rPr>
              <w:t xml:space="preserve"> the p values at</w:t>
            </w:r>
            <w:r w:rsidR="000A17DB">
              <w:rPr>
                <w:rFonts w:ascii="Times New Roman" w:eastAsia="MS PGothic" w:hAnsi="Times New Roman"/>
                <w:szCs w:val="24"/>
              </w:rPr>
              <w:t xml:space="preserve"> </w:t>
            </w:r>
            <w:r w:rsidR="000A17DB" w:rsidRPr="000F0505">
              <w:rPr>
                <w:rFonts w:ascii="Times New Roman" w:eastAsia="MS PGothic" w:hAnsi="Times New Roman"/>
                <w:szCs w:val="24"/>
              </w:rPr>
              <w:t>the 95% confidence level. The p values were</w:t>
            </w:r>
            <w:r w:rsidR="000A17DB">
              <w:rPr>
                <w:rFonts w:ascii="Times New Roman" w:eastAsia="MS PGothic" w:hAnsi="Times New Roman"/>
                <w:szCs w:val="24"/>
              </w:rPr>
              <w:t xml:space="preserve"> </w:t>
            </w:r>
            <w:r w:rsidR="000A17DB" w:rsidRPr="000F0505">
              <w:rPr>
                <w:rFonts w:ascii="Times New Roman" w:eastAsia="MS PGothic" w:hAnsi="Times New Roman"/>
                <w:szCs w:val="24"/>
              </w:rPr>
              <w:t>calculated based on</w:t>
            </w:r>
            <w:r w:rsidR="000A17DB">
              <w:rPr>
                <w:rFonts w:ascii="Times New Roman" w:eastAsia="MS PGothic" w:hAnsi="Times New Roman"/>
                <w:szCs w:val="24"/>
              </w:rPr>
              <w:t xml:space="preserve"> </w:t>
            </w:r>
            <w:r>
              <w:rPr>
                <w:rFonts w:ascii="Times New Roman" w:eastAsia="MS PGothic" w:hAnsi="Times New Roman"/>
                <w:szCs w:val="24"/>
              </w:rPr>
              <w:t>the median concentrations using</w:t>
            </w:r>
            <w:r w:rsidR="000A17DB" w:rsidRPr="000F0505">
              <w:rPr>
                <w:rFonts w:ascii="Times New Roman" w:eastAsia="MS PGothic" w:hAnsi="Times New Roman"/>
                <w:szCs w:val="24"/>
              </w:rPr>
              <w:t xml:space="preserve"> the analysis of variance</w:t>
            </w:r>
            <w:r w:rsidR="000A17DB">
              <w:rPr>
                <w:rFonts w:ascii="Times New Roman" w:eastAsia="MS PGothic" w:hAnsi="Times New Roman"/>
                <w:szCs w:val="24"/>
              </w:rPr>
              <w:t xml:space="preserve"> </w:t>
            </w:r>
            <w:r w:rsidR="000A17DB" w:rsidRPr="000F0505">
              <w:rPr>
                <w:rFonts w:ascii="Times New Roman" w:eastAsia="MS PGothic" w:hAnsi="Times New Roman"/>
                <w:szCs w:val="24"/>
              </w:rPr>
              <w:t>(ANOVA) technique.</w:t>
            </w:r>
            <w:r w:rsidR="00B4316A">
              <w:rPr>
                <w:rFonts w:ascii="Times New Roman" w:eastAsia="MS PGothic" w:hAnsi="Times New Roman"/>
                <w:szCs w:val="24"/>
              </w:rPr>
              <w:t xml:space="preserve"> The significant trends</w:t>
            </w:r>
            <w:r w:rsidR="00C66908">
              <w:rPr>
                <w:rFonts w:ascii="Times New Roman" w:eastAsia="MS PGothic" w:hAnsi="Times New Roman"/>
                <w:szCs w:val="24"/>
              </w:rPr>
              <w:t xml:space="preserve"> (p &lt; 0.05)</w:t>
            </w:r>
            <w:r w:rsidR="00B4316A">
              <w:rPr>
                <w:rFonts w:ascii="Times New Roman" w:eastAsia="MS PGothic" w:hAnsi="Times New Roman"/>
                <w:szCs w:val="24"/>
              </w:rPr>
              <w:t xml:space="preserve"> have been made bold. </w:t>
            </w:r>
          </w:p>
        </w:tc>
      </w:tr>
      <w:tr w:rsidR="000F0505" w:rsidRPr="000F0505" w14:paraId="7010FF57" w14:textId="77777777" w:rsidTr="000F0505">
        <w:trPr>
          <w:trHeight w:val="300"/>
        </w:trPr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84ACE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Month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AA098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 xml:space="preserve">Oxalic </w:t>
            </w:r>
            <w:r w:rsidRPr="000F0505">
              <w:rPr>
                <w:rFonts w:ascii="Times New Roman" w:eastAsia="MS PGothic" w:hAnsi="Times New Roman"/>
                <w:sz w:val="20"/>
              </w:rPr>
              <w:t>acid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FC64D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 xml:space="preserve">Malonic </w:t>
            </w:r>
            <w:r w:rsidRPr="000F0505">
              <w:rPr>
                <w:rFonts w:ascii="Times New Roman" w:eastAsia="MS PGothic" w:hAnsi="Times New Roman"/>
                <w:sz w:val="20"/>
              </w:rPr>
              <w:t>acid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76512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 xml:space="preserve">Succinic </w:t>
            </w:r>
            <w:r w:rsidRPr="000F0505">
              <w:rPr>
                <w:rFonts w:ascii="Times New Roman" w:eastAsia="MS PGothic" w:hAnsi="Times New Roman"/>
                <w:sz w:val="20"/>
              </w:rPr>
              <w:t>acid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D2900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 xml:space="preserve">Adipic </w:t>
            </w:r>
            <w:r w:rsidRPr="000F0505">
              <w:rPr>
                <w:rFonts w:ascii="Times New Roman" w:eastAsia="MS PGothic" w:hAnsi="Times New Roman"/>
                <w:sz w:val="20"/>
              </w:rPr>
              <w:t>acid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AA716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proofErr w:type="spellStart"/>
            <w:r>
              <w:rPr>
                <w:rFonts w:ascii="Times New Roman" w:eastAsia="MS PGothic" w:hAnsi="Times New Roman"/>
                <w:sz w:val="20"/>
              </w:rPr>
              <w:t>Methylsuccinic</w:t>
            </w:r>
            <w:proofErr w:type="spellEnd"/>
            <w:r>
              <w:rPr>
                <w:rFonts w:ascii="Times New Roman" w:eastAsia="MS PGothic" w:hAnsi="Times New Roman"/>
                <w:sz w:val="20"/>
              </w:rPr>
              <w:t xml:space="preserve"> </w:t>
            </w:r>
            <w:r w:rsidRPr="000F0505">
              <w:rPr>
                <w:rFonts w:ascii="Times New Roman" w:eastAsia="MS PGothic" w:hAnsi="Times New Roman"/>
                <w:sz w:val="20"/>
              </w:rPr>
              <w:t>acid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D8C6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 xml:space="preserve">Phthalic </w:t>
            </w:r>
            <w:r w:rsidRPr="000F0505">
              <w:rPr>
                <w:rFonts w:ascii="Times New Roman" w:eastAsia="MS PGothic" w:hAnsi="Times New Roman"/>
                <w:sz w:val="20"/>
              </w:rPr>
              <w:t>acid</w:t>
            </w:r>
          </w:p>
        </w:tc>
      </w:tr>
      <w:tr w:rsidR="000F0505" w:rsidRPr="000F0505" w14:paraId="530EBB9E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9D85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January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ED55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0.08 (0.595)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88C93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0.02 (0.798)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5D42C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0.16 (0.440)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95DB3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0.55 (0.091)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C5AF7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0.17 (0.414)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AB141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0.07 (0.613)</w:t>
            </w:r>
          </w:p>
        </w:tc>
      </w:tr>
      <w:tr w:rsidR="000F0505" w:rsidRPr="000F0505" w14:paraId="38E6C4B6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06E4B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February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42189" w14:textId="77777777" w:rsidR="000F0505" w:rsidRPr="006B351E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6B351E">
              <w:rPr>
                <w:rFonts w:ascii="Times New Roman" w:eastAsia="MS PGothic" w:hAnsi="Times New Roman"/>
                <w:b/>
                <w:sz w:val="20"/>
              </w:rPr>
              <w:t>0.87 (0.025)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7935C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0.43 (0.159)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CFD5F" w14:textId="77777777" w:rsidR="000F0505" w:rsidRPr="00C66908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C66908">
              <w:rPr>
                <w:rFonts w:ascii="Times New Roman" w:eastAsia="MS PGothic" w:hAnsi="Times New Roman"/>
                <w:sz w:val="20"/>
              </w:rPr>
              <w:t>0.56 (0.085)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1441" w14:textId="77777777" w:rsidR="000F0505" w:rsidRPr="006B351E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6B351E">
              <w:rPr>
                <w:rFonts w:ascii="Times New Roman" w:eastAsia="MS PGothic" w:hAnsi="Times New Roman"/>
                <w:b/>
                <w:sz w:val="20"/>
              </w:rPr>
              <w:t>0.86 (0.008)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2ED6F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0.38 (0.190)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A3C6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0.34 (0.200)</w:t>
            </w:r>
          </w:p>
        </w:tc>
      </w:tr>
      <w:tr w:rsidR="000F0505" w:rsidRPr="000F0505" w14:paraId="7861DAE3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5589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March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0CF6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0.57 (0.143)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08F0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0.39 (0.259)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0DBA5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0.74 (0.062)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71777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0.63 (0.104)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17DB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0.58 (0.132)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C0E6A" w14:textId="77777777" w:rsidR="000F0505" w:rsidRPr="00032550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032550">
              <w:rPr>
                <w:rFonts w:ascii="Times New Roman" w:eastAsia="MS PGothic" w:hAnsi="Times New Roman"/>
                <w:b/>
                <w:sz w:val="20"/>
              </w:rPr>
              <w:t>0.84 (0.027)</w:t>
            </w:r>
          </w:p>
        </w:tc>
      </w:tr>
      <w:tr w:rsidR="000F0505" w:rsidRPr="000F0505" w14:paraId="6E5D5B4B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72342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May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09149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0.13 (0.486)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9675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0.05 (0.660)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C06D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0.00</w:t>
            </w:r>
            <w:r w:rsidR="00C66908">
              <w:rPr>
                <w:rFonts w:ascii="Times New Roman" w:eastAsia="MS PGothic" w:hAnsi="Times New Roman"/>
                <w:sz w:val="20"/>
              </w:rPr>
              <w:t>1</w:t>
            </w:r>
            <w:r w:rsidRPr="000F0505">
              <w:rPr>
                <w:rFonts w:ascii="Times New Roman" w:eastAsia="MS PGothic" w:hAnsi="Times New Roman"/>
                <w:sz w:val="20"/>
              </w:rPr>
              <w:t xml:space="preserve"> (0.990)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CD8BB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0.23 (0.412)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3748B" w14:textId="77777777" w:rsidR="000F0505" w:rsidRPr="00032550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032550">
              <w:rPr>
                <w:rFonts w:ascii="Times New Roman" w:eastAsia="MS PGothic" w:hAnsi="Times New Roman"/>
                <w:b/>
                <w:sz w:val="20"/>
              </w:rPr>
              <w:t>0.66 (0.048)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E704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0.55 (0.093)</w:t>
            </w:r>
          </w:p>
        </w:tc>
      </w:tr>
      <w:tr w:rsidR="000F0505" w:rsidRPr="000F0505" w14:paraId="1794DFFB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43A18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June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694A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0.11 (0.459)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E2B3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0.06 (0.588)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A3F4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0.11 (0.457)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9796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0.09 (0.514)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B4E6D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0.34 (0.172)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C8C07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0.00</w:t>
            </w:r>
            <w:r w:rsidR="00676C67">
              <w:rPr>
                <w:rFonts w:ascii="Times New Roman" w:eastAsia="MS PGothic" w:hAnsi="Times New Roman"/>
                <w:sz w:val="20"/>
              </w:rPr>
              <w:t>2</w:t>
            </w:r>
            <w:r w:rsidRPr="000F0505">
              <w:rPr>
                <w:rFonts w:ascii="Times New Roman" w:eastAsia="MS PGothic" w:hAnsi="Times New Roman"/>
                <w:sz w:val="20"/>
              </w:rPr>
              <w:t xml:space="preserve"> (0.989)</w:t>
            </w:r>
          </w:p>
        </w:tc>
      </w:tr>
      <w:tr w:rsidR="000F0505" w:rsidRPr="000F0505" w14:paraId="6623A00B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6857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July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CA85F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0.45 (0.217)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2B63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0.04 (0.732)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5DDE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0.07 (0.662)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ACC84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0.01 (0.847)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4A6A3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0.01 (0.869)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9AE61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0.03 (0.779)</w:t>
            </w:r>
          </w:p>
        </w:tc>
      </w:tr>
      <w:tr w:rsidR="000F0505" w:rsidRPr="000F0505" w14:paraId="4C041296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FB9E8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August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F968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0.21 (0.443)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BFBFF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0.06 (0.702)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F5129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0.07 (0.662)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5E8B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0.05 (0.712)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CF3BB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0.33 (0.309)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F22BA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0.19 (0.458)</w:t>
            </w:r>
          </w:p>
        </w:tc>
      </w:tr>
      <w:tr w:rsidR="000F0505" w:rsidRPr="000F0505" w14:paraId="1784716D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9D63D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>September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CC284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>0.03 (0.771)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F326C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>0.11 (0.583)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E255E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>0.11 (0.579)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C293D" w14:textId="77777777" w:rsidR="000F0505" w:rsidRPr="000F0505" w:rsidRDefault="000A17DB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>0.11 (0.583)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6FBCD" w14:textId="77777777" w:rsidR="000F0505" w:rsidRPr="000F0505" w:rsidRDefault="000A17DB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>0.01 (0.917)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6BE04" w14:textId="77777777" w:rsidR="000F0505" w:rsidRPr="000F0505" w:rsidRDefault="000A17DB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>
              <w:rPr>
                <w:rFonts w:ascii="Times New Roman" w:eastAsia="MS PGothic" w:hAnsi="Times New Roman"/>
                <w:sz w:val="20"/>
              </w:rPr>
              <w:t>0.60 (0.122)</w:t>
            </w:r>
          </w:p>
        </w:tc>
      </w:tr>
      <w:tr w:rsidR="000F0505" w:rsidRPr="000F0505" w14:paraId="4743B43A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317F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October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B93D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0.07 (0.623)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A4CC6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0.04 (0.703)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02C2F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0.25 (0.313)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BE26A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0.003 (0.914)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C017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0.20 (0.379)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B2C69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0.15 (0.450)</w:t>
            </w:r>
          </w:p>
        </w:tc>
      </w:tr>
      <w:tr w:rsidR="000F0505" w:rsidRPr="000F0505" w14:paraId="05286D85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5E71F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November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3FC4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0.10 (0.492)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B2231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0.05 (0.616)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5911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0.20 (0.317)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9B8B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0.13 (0.419)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1071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0.00</w:t>
            </w:r>
            <w:r w:rsidR="00C66908">
              <w:rPr>
                <w:rFonts w:ascii="Times New Roman" w:eastAsia="MS PGothic" w:hAnsi="Times New Roman"/>
                <w:sz w:val="20"/>
              </w:rPr>
              <w:t>1</w:t>
            </w:r>
            <w:r w:rsidRPr="000F0505">
              <w:rPr>
                <w:rFonts w:ascii="Times New Roman" w:eastAsia="MS PGothic" w:hAnsi="Times New Roman"/>
                <w:sz w:val="20"/>
              </w:rPr>
              <w:t xml:space="preserve"> (0.990)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9CEF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0.04 (0.653)</w:t>
            </w:r>
          </w:p>
        </w:tc>
      </w:tr>
      <w:tr w:rsidR="000F0505" w:rsidRPr="000F0505" w14:paraId="041D037E" w14:textId="77777777" w:rsidTr="000F0505">
        <w:trPr>
          <w:trHeight w:val="285"/>
        </w:trPr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E41FB" w14:textId="77777777" w:rsidR="000F0505" w:rsidRPr="000F0505" w:rsidRDefault="000F0505" w:rsidP="000F0505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December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64302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0.26 (0.297)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54AEA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0.33 (0.230)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CCC6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0.38 (0.189)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792A1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0.43 (0.157)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12E5D" w14:textId="77777777" w:rsidR="000F0505" w:rsidRPr="000F0505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F0505">
              <w:rPr>
                <w:rFonts w:ascii="Times New Roman" w:eastAsia="MS PGothic" w:hAnsi="Times New Roman"/>
                <w:sz w:val="20"/>
              </w:rPr>
              <w:t>0.20 (0.370)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C73A3" w14:textId="77777777" w:rsidR="000F0505" w:rsidRPr="006B351E" w:rsidRDefault="000F0505" w:rsidP="000F0505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6B351E">
              <w:rPr>
                <w:rFonts w:ascii="Times New Roman" w:eastAsia="MS PGothic" w:hAnsi="Times New Roman"/>
                <w:b/>
                <w:sz w:val="20"/>
              </w:rPr>
              <w:t>0.69 (0.040)</w:t>
            </w:r>
          </w:p>
        </w:tc>
      </w:tr>
    </w:tbl>
    <w:p w14:paraId="681BB2FE" w14:textId="77777777" w:rsidR="000F0505" w:rsidRDefault="000F0505" w:rsidP="000F0505">
      <w:pPr>
        <w:tabs>
          <w:tab w:val="left" w:pos="2580"/>
        </w:tabs>
        <w:spacing w:line="480" w:lineRule="auto"/>
        <w:jc w:val="center"/>
        <w:rPr>
          <w:b/>
          <w:bCs/>
        </w:rPr>
      </w:pPr>
    </w:p>
    <w:p w14:paraId="09AE9949" w14:textId="77777777" w:rsidR="000F0505" w:rsidRDefault="000F0505" w:rsidP="000F0505">
      <w:pPr>
        <w:tabs>
          <w:tab w:val="left" w:pos="2580"/>
        </w:tabs>
        <w:spacing w:line="480" w:lineRule="auto"/>
        <w:jc w:val="center"/>
        <w:rPr>
          <w:b/>
          <w:bCs/>
        </w:rPr>
      </w:pPr>
    </w:p>
    <w:p w14:paraId="0A3B454A" w14:textId="77777777" w:rsidR="000F0505" w:rsidRDefault="000F0505" w:rsidP="000F0505">
      <w:pPr>
        <w:tabs>
          <w:tab w:val="left" w:pos="2580"/>
        </w:tabs>
        <w:spacing w:line="480" w:lineRule="auto"/>
        <w:jc w:val="center"/>
        <w:rPr>
          <w:b/>
          <w:bCs/>
        </w:rPr>
      </w:pPr>
    </w:p>
    <w:p w14:paraId="1EDDCB1A" w14:textId="77777777" w:rsidR="000F0505" w:rsidRDefault="000F0505" w:rsidP="000F0505">
      <w:pPr>
        <w:tabs>
          <w:tab w:val="left" w:pos="2580"/>
        </w:tabs>
        <w:spacing w:line="480" w:lineRule="auto"/>
        <w:jc w:val="center"/>
        <w:rPr>
          <w:b/>
          <w:bCs/>
        </w:rPr>
      </w:pPr>
    </w:p>
    <w:p w14:paraId="3DC56628" w14:textId="77777777" w:rsidR="006B351E" w:rsidRDefault="006B351E" w:rsidP="000A17DB">
      <w:pPr>
        <w:tabs>
          <w:tab w:val="left" w:pos="2580"/>
        </w:tabs>
        <w:spacing w:line="480" w:lineRule="auto"/>
        <w:jc w:val="left"/>
        <w:rPr>
          <w:b/>
          <w:bCs/>
        </w:rPr>
      </w:pPr>
    </w:p>
    <w:tbl>
      <w:tblPr>
        <w:tblW w:w="6541" w:type="dxa"/>
        <w:tblLook w:val="04A0" w:firstRow="1" w:lastRow="0" w:firstColumn="1" w:lastColumn="0" w:noHBand="0" w:noVBand="1"/>
      </w:tblPr>
      <w:tblGrid>
        <w:gridCol w:w="1086"/>
        <w:gridCol w:w="1243"/>
        <w:gridCol w:w="1488"/>
        <w:gridCol w:w="1243"/>
        <w:gridCol w:w="1481"/>
      </w:tblGrid>
      <w:tr w:rsidR="00032550" w:rsidRPr="000A17DB" w14:paraId="31DFD9BC" w14:textId="77777777" w:rsidTr="00020474">
        <w:trPr>
          <w:trHeight w:val="2562"/>
        </w:trPr>
        <w:tc>
          <w:tcPr>
            <w:tcW w:w="6541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CF1D5" w14:textId="77777777" w:rsidR="00032550" w:rsidRPr="000A17DB" w:rsidRDefault="00032550" w:rsidP="000A17DB">
            <w:pPr>
              <w:spacing w:after="0"/>
              <w:jc w:val="left"/>
              <w:rPr>
                <w:rFonts w:ascii="Times New Roman" w:eastAsia="MS PGothic" w:hAnsi="Times New Roman"/>
                <w:szCs w:val="24"/>
              </w:rPr>
            </w:pPr>
            <w:r>
              <w:rPr>
                <w:rFonts w:ascii="Times New Roman" w:eastAsia="MS PGothic" w:hAnsi="Times New Roman"/>
                <w:b/>
                <w:bCs/>
                <w:szCs w:val="24"/>
              </w:rPr>
              <w:t>Table S2</w:t>
            </w:r>
            <w:r w:rsidRPr="000A17DB">
              <w:rPr>
                <w:rFonts w:ascii="Times New Roman" w:eastAsia="MS PGothic" w:hAnsi="Times New Roman"/>
                <w:b/>
                <w:bCs/>
                <w:szCs w:val="24"/>
              </w:rPr>
              <w:t>.</w:t>
            </w:r>
            <w:r>
              <w:rPr>
                <w:rFonts w:ascii="Times New Roman" w:eastAsia="MS PGothic" w:hAnsi="Times New Roman"/>
                <w:szCs w:val="24"/>
              </w:rPr>
              <w:t xml:space="preserve"> Correlations (r</w:t>
            </w:r>
            <w:r w:rsidRPr="00032550">
              <w:rPr>
                <w:rFonts w:ascii="Times New Roman" w:eastAsia="MS PGothic" w:hAnsi="Times New Roman"/>
                <w:szCs w:val="24"/>
                <w:vertAlign w:val="superscript"/>
              </w:rPr>
              <w:t>2</w:t>
            </w:r>
            <w:r>
              <w:rPr>
                <w:rFonts w:ascii="Times New Roman" w:eastAsia="MS PGothic" w:hAnsi="Times New Roman"/>
                <w:szCs w:val="24"/>
              </w:rPr>
              <w:t>)</w:t>
            </w:r>
            <w:r w:rsidRPr="000A17DB">
              <w:rPr>
                <w:rFonts w:ascii="Times New Roman" w:eastAsia="MS PGothic" w:hAnsi="Times New Roman"/>
                <w:szCs w:val="24"/>
              </w:rPr>
              <w:t xml:space="preserve"> of the concentrations of a</w:t>
            </w:r>
            <w:r>
              <w:rPr>
                <w:rFonts w:ascii="Times New Roman" w:eastAsia="MS PGothic" w:hAnsi="Times New Roman"/>
                <w:szCs w:val="24"/>
              </w:rPr>
              <w:t xml:space="preserve"> </w:t>
            </w:r>
            <w:r w:rsidRPr="000A17DB">
              <w:rPr>
                <w:rFonts w:ascii="Times New Roman" w:eastAsia="MS PGothic" w:hAnsi="Times New Roman"/>
                <w:szCs w:val="24"/>
              </w:rPr>
              <w:t>combustion tracer (CO) and precurso</w:t>
            </w:r>
            <w:r>
              <w:rPr>
                <w:rFonts w:ascii="Times New Roman" w:eastAsia="MS PGothic" w:hAnsi="Times New Roman"/>
                <w:szCs w:val="24"/>
              </w:rPr>
              <w:t xml:space="preserve">rs (glyoxylic acid, glyoxal and </w:t>
            </w:r>
            <w:r w:rsidRPr="000A17DB">
              <w:rPr>
                <w:rFonts w:ascii="Times New Roman" w:eastAsia="MS PGothic" w:hAnsi="Times New Roman"/>
                <w:szCs w:val="24"/>
              </w:rPr>
              <w:t>methylglyoxal) of oxalic acid with the studied years</w:t>
            </w:r>
            <w:r>
              <w:rPr>
                <w:rFonts w:ascii="Times New Roman" w:eastAsia="MS PGothic" w:hAnsi="Times New Roman"/>
                <w:szCs w:val="24"/>
              </w:rPr>
              <w:t xml:space="preserve"> </w:t>
            </w:r>
            <w:r w:rsidRPr="000A17DB">
              <w:rPr>
                <w:rFonts w:ascii="Times New Roman" w:eastAsia="MS PGothic" w:hAnsi="Times New Roman"/>
                <w:szCs w:val="24"/>
              </w:rPr>
              <w:t>(2001 - 2008).</w:t>
            </w:r>
            <w:r>
              <w:rPr>
                <w:rFonts w:ascii="Times New Roman" w:eastAsia="MS PGothic" w:hAnsi="Times New Roman"/>
                <w:szCs w:val="24"/>
              </w:rPr>
              <w:t xml:space="preserve"> The </w:t>
            </w:r>
            <w:r w:rsidRPr="000A17DB">
              <w:rPr>
                <w:rFonts w:ascii="Times New Roman" w:eastAsia="MS PGothic" w:hAnsi="Times New Roman"/>
                <w:szCs w:val="24"/>
              </w:rPr>
              <w:t>r</w:t>
            </w:r>
            <w:r w:rsidRPr="000A17DB">
              <w:rPr>
                <w:rFonts w:ascii="Times New Roman" w:eastAsia="MS PGothic" w:hAnsi="Times New Roman"/>
                <w:szCs w:val="24"/>
                <w:vertAlign w:val="superscript"/>
              </w:rPr>
              <w:t>2</w:t>
            </w:r>
            <w:r w:rsidRPr="000A17DB">
              <w:rPr>
                <w:rFonts w:ascii="Times New Roman" w:eastAsia="MS PGothic" w:hAnsi="Times New Roman"/>
                <w:szCs w:val="24"/>
              </w:rPr>
              <w:t xml:space="preserve"> values were calculated by the</w:t>
            </w:r>
            <w:r>
              <w:rPr>
                <w:rFonts w:ascii="Times New Roman" w:eastAsia="MS PGothic" w:hAnsi="Times New Roman"/>
                <w:szCs w:val="24"/>
              </w:rPr>
              <w:t xml:space="preserve"> linear regression </w:t>
            </w:r>
            <w:r w:rsidRPr="000A17DB">
              <w:rPr>
                <w:rFonts w:ascii="Times New Roman" w:eastAsia="MS PGothic" w:hAnsi="Times New Roman"/>
                <w:szCs w:val="24"/>
              </w:rPr>
              <w:t>using least squares. The</w:t>
            </w:r>
            <w:r>
              <w:rPr>
                <w:rFonts w:ascii="Times New Roman" w:eastAsia="MS PGothic" w:hAnsi="Times New Roman"/>
                <w:szCs w:val="24"/>
              </w:rPr>
              <w:t xml:space="preserve"> values in the bracket show </w:t>
            </w:r>
            <w:r w:rsidRPr="000A17DB">
              <w:rPr>
                <w:rFonts w:ascii="Times New Roman" w:eastAsia="MS PGothic" w:hAnsi="Times New Roman"/>
                <w:szCs w:val="24"/>
              </w:rPr>
              <w:t>the p</w:t>
            </w:r>
            <w:r>
              <w:rPr>
                <w:rFonts w:ascii="Times New Roman" w:eastAsia="MS PGothic" w:hAnsi="Times New Roman"/>
                <w:szCs w:val="24"/>
              </w:rPr>
              <w:t xml:space="preserve"> </w:t>
            </w:r>
            <w:r w:rsidRPr="000A17DB">
              <w:rPr>
                <w:rFonts w:ascii="Times New Roman" w:eastAsia="MS PGothic" w:hAnsi="Times New Roman"/>
                <w:szCs w:val="24"/>
              </w:rPr>
              <w:t>values at the 95%</w:t>
            </w:r>
            <w:r>
              <w:rPr>
                <w:rFonts w:ascii="Times New Roman" w:eastAsia="MS PGothic" w:hAnsi="Times New Roman"/>
                <w:szCs w:val="24"/>
              </w:rPr>
              <w:t xml:space="preserve"> </w:t>
            </w:r>
            <w:r w:rsidRPr="000A17DB">
              <w:rPr>
                <w:rFonts w:ascii="Times New Roman" w:eastAsia="MS PGothic" w:hAnsi="Times New Roman"/>
                <w:szCs w:val="24"/>
              </w:rPr>
              <w:t>confidence level. The p values</w:t>
            </w:r>
            <w:r>
              <w:rPr>
                <w:rFonts w:ascii="Times New Roman" w:eastAsia="MS PGothic" w:hAnsi="Times New Roman"/>
                <w:szCs w:val="24"/>
              </w:rPr>
              <w:t xml:space="preserve"> were </w:t>
            </w:r>
            <w:r w:rsidRPr="000A17DB">
              <w:rPr>
                <w:rFonts w:ascii="Times New Roman" w:eastAsia="MS PGothic" w:hAnsi="Times New Roman"/>
                <w:szCs w:val="24"/>
              </w:rPr>
              <w:t>calculated</w:t>
            </w:r>
            <w:r>
              <w:rPr>
                <w:rFonts w:ascii="Times New Roman" w:eastAsia="MS PGothic" w:hAnsi="Times New Roman"/>
                <w:szCs w:val="24"/>
              </w:rPr>
              <w:t xml:space="preserve"> based on the median concentrations using</w:t>
            </w:r>
            <w:r w:rsidRPr="000A17DB">
              <w:rPr>
                <w:rFonts w:ascii="Times New Roman" w:eastAsia="MS PGothic" w:hAnsi="Times New Roman"/>
                <w:szCs w:val="24"/>
              </w:rPr>
              <w:t xml:space="preserve"> the analysis</w:t>
            </w:r>
            <w:r>
              <w:rPr>
                <w:rFonts w:ascii="Times New Roman" w:eastAsia="MS PGothic" w:hAnsi="Times New Roman"/>
                <w:szCs w:val="24"/>
              </w:rPr>
              <w:t xml:space="preserve"> of variance</w:t>
            </w:r>
          </w:p>
          <w:p w14:paraId="15066866" w14:textId="77777777" w:rsidR="00032550" w:rsidRPr="000A17DB" w:rsidRDefault="00032550" w:rsidP="000A17DB">
            <w:pPr>
              <w:spacing w:after="0"/>
              <w:jc w:val="left"/>
              <w:rPr>
                <w:rFonts w:ascii="Times New Roman" w:eastAsia="MS PGothic" w:hAnsi="Times New Roman"/>
                <w:szCs w:val="24"/>
              </w:rPr>
            </w:pPr>
            <w:r>
              <w:rPr>
                <w:rFonts w:ascii="Times New Roman" w:eastAsia="MS PGothic" w:hAnsi="Times New Roman"/>
                <w:szCs w:val="24"/>
              </w:rPr>
              <w:t>(ANOVA) technique.</w:t>
            </w:r>
            <w:r w:rsidR="00B4316A">
              <w:rPr>
                <w:rFonts w:ascii="Times New Roman" w:eastAsia="MS PGothic" w:hAnsi="Times New Roman"/>
                <w:szCs w:val="24"/>
              </w:rPr>
              <w:t xml:space="preserve"> The significant</w:t>
            </w:r>
            <w:r w:rsidR="00676C67">
              <w:rPr>
                <w:rFonts w:ascii="Times New Roman" w:eastAsia="MS PGothic" w:hAnsi="Times New Roman"/>
                <w:szCs w:val="24"/>
              </w:rPr>
              <w:t xml:space="preserve"> (p &lt; 0.05)</w:t>
            </w:r>
            <w:r w:rsidR="00B4316A">
              <w:rPr>
                <w:rFonts w:ascii="Times New Roman" w:eastAsia="MS PGothic" w:hAnsi="Times New Roman"/>
                <w:szCs w:val="24"/>
              </w:rPr>
              <w:t xml:space="preserve"> trends have been made bold.</w:t>
            </w:r>
          </w:p>
        </w:tc>
      </w:tr>
      <w:tr w:rsidR="000A17DB" w:rsidRPr="000A17DB" w14:paraId="64F4253C" w14:textId="77777777" w:rsidTr="00D10B4D">
        <w:trPr>
          <w:trHeight w:val="300"/>
        </w:trPr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0E27A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Month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D52B6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CO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AFBA4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Glyoxylic acid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48F28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Glyoxal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4BD70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Methylglyoxal</w:t>
            </w:r>
          </w:p>
        </w:tc>
      </w:tr>
      <w:tr w:rsidR="000A17DB" w:rsidRPr="000A17DB" w14:paraId="1AA5CFC9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6DCE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January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3DBE" w14:textId="77777777" w:rsidR="000A17DB" w:rsidRPr="006B351E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6B351E">
              <w:rPr>
                <w:rFonts w:ascii="Times New Roman" w:eastAsia="MS PGothic" w:hAnsi="Times New Roman"/>
                <w:b/>
                <w:sz w:val="20"/>
              </w:rPr>
              <w:t>0.88 (0.001)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78DEC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0.11 (0.512)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C5FCA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0.23 (0.335)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A60B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0.54 (0.658)</w:t>
            </w:r>
          </w:p>
        </w:tc>
      </w:tr>
      <w:tr w:rsidR="000A17DB" w:rsidRPr="000A17DB" w14:paraId="758B8628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190D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February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AE90F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0.04 (0.657)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960D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0.33 (0.236)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85400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0.59 (0.075)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B77B0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0.28 (0.285)</w:t>
            </w:r>
          </w:p>
        </w:tc>
      </w:tr>
      <w:tr w:rsidR="000A17DB" w:rsidRPr="000A17DB" w14:paraId="4CC5F240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6A9F7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March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1EE8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0.24 (0.264)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56A46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0.34 (0.305)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B78D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0.39 (0.182)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077F0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0.004 (0.906)</w:t>
            </w:r>
          </w:p>
        </w:tc>
      </w:tr>
      <w:tr w:rsidR="000A17DB" w:rsidRPr="000A17DB" w14:paraId="04B0AFCD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B66B4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May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DEFB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0.15 (0.350)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29FC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0.03 (0.746)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8A7A" w14:textId="77777777" w:rsidR="000A17DB" w:rsidRPr="00E669CA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E669CA">
              <w:rPr>
                <w:rFonts w:ascii="Times New Roman" w:eastAsia="MS PGothic" w:hAnsi="Times New Roman"/>
                <w:b/>
                <w:sz w:val="20"/>
              </w:rPr>
              <w:t>0.70 (0.037)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53AC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0.09 (0.555)</w:t>
            </w:r>
          </w:p>
        </w:tc>
      </w:tr>
      <w:tr w:rsidR="000A17DB" w:rsidRPr="000A17DB" w14:paraId="7DB53ED9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4F570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June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87260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0.10 (0.434)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8988E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0.27 (0.231)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14498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0.01 (0.888)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6039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0.14 (0.417)</w:t>
            </w:r>
          </w:p>
        </w:tc>
      </w:tr>
      <w:tr w:rsidR="000A17DB" w:rsidRPr="000A17DB" w14:paraId="6C37E3F4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0A5D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July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F4B42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0.21 (0.251)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6E2AA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0.03 (0.791)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7CBD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0.26 (0.302)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0C98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0.14 (0.417)</w:t>
            </w:r>
          </w:p>
        </w:tc>
      </w:tr>
      <w:tr w:rsidR="000A17DB" w:rsidRPr="000A17DB" w14:paraId="7AB8261D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10572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August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BF5A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0.00 (0.986)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BD0D7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0.40 (0.256)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7865F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0.03 (0.743)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C22E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0.09 (0.572)</w:t>
            </w:r>
          </w:p>
        </w:tc>
      </w:tr>
      <w:tr w:rsidR="000A17DB" w:rsidRPr="000A17DB" w14:paraId="4D137805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2AB6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September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24B7B" w14:textId="77777777" w:rsidR="000A17DB" w:rsidRPr="006B351E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6B351E">
              <w:rPr>
                <w:rFonts w:ascii="Times New Roman" w:eastAsia="MS PGothic" w:hAnsi="Times New Roman"/>
                <w:b/>
                <w:sz w:val="20"/>
              </w:rPr>
              <w:t>0.50 (0.053)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66C79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0.12 (0.574)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C400A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0.24 (0.319)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1908E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0.00</w:t>
            </w:r>
            <w:r w:rsidR="00676C67">
              <w:rPr>
                <w:rFonts w:ascii="Times New Roman" w:eastAsia="MS PGothic" w:hAnsi="Times New Roman"/>
                <w:sz w:val="20"/>
              </w:rPr>
              <w:t>2</w:t>
            </w:r>
            <w:r w:rsidRPr="000A17DB">
              <w:rPr>
                <w:rFonts w:ascii="Times New Roman" w:eastAsia="MS PGothic" w:hAnsi="Times New Roman"/>
                <w:sz w:val="20"/>
              </w:rPr>
              <w:t xml:space="preserve"> (0.904)</w:t>
            </w:r>
          </w:p>
        </w:tc>
      </w:tr>
      <w:tr w:rsidR="000A17DB" w:rsidRPr="000A17DB" w14:paraId="66A39CCB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028F6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October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5AB4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0.26 (0.242)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4969D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0.48 (0.127)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DC1A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0.09 (0.552)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ADD6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0.01 (0.881)</w:t>
            </w:r>
          </w:p>
        </w:tc>
      </w:tr>
      <w:tr w:rsidR="000A17DB" w:rsidRPr="000A17DB" w14:paraId="52E8B8C7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2FE79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November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942EC" w14:textId="77777777" w:rsidR="000A17DB" w:rsidRPr="006B351E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6B351E">
              <w:rPr>
                <w:rFonts w:ascii="Times New Roman" w:eastAsia="MS PGothic" w:hAnsi="Times New Roman"/>
                <w:b/>
                <w:sz w:val="20"/>
              </w:rPr>
              <w:t>0.79 (0.008)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1ED7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0.08 (0.536)</w:t>
            </w: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0667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0.31 (0.254)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F97A0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0.44 (0.105)</w:t>
            </w:r>
          </w:p>
        </w:tc>
      </w:tr>
      <w:tr w:rsidR="000A17DB" w:rsidRPr="000A17DB" w14:paraId="1CE520B6" w14:textId="77777777" w:rsidTr="00D10B4D">
        <w:trPr>
          <w:trHeight w:val="285"/>
        </w:trPr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59A9C" w14:textId="77777777" w:rsidR="000A17DB" w:rsidRPr="000A17DB" w:rsidRDefault="000A17DB" w:rsidP="000A17DB">
            <w:pPr>
              <w:spacing w:after="0"/>
              <w:jc w:val="left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December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9373B" w14:textId="77777777" w:rsidR="000A17DB" w:rsidRPr="006B351E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b/>
                <w:sz w:val="20"/>
              </w:rPr>
            </w:pPr>
            <w:r w:rsidRPr="006B351E">
              <w:rPr>
                <w:rFonts w:ascii="Times New Roman" w:eastAsia="MS PGothic" w:hAnsi="Times New Roman"/>
                <w:b/>
                <w:sz w:val="20"/>
              </w:rPr>
              <w:t>0.60 (0.040)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87CC5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0.36 (0.204)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75D18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0.36 (0.206)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B5628" w14:textId="77777777" w:rsidR="000A17DB" w:rsidRPr="000A17DB" w:rsidRDefault="000A17DB" w:rsidP="000A17DB">
            <w:pPr>
              <w:spacing w:after="0"/>
              <w:jc w:val="center"/>
              <w:rPr>
                <w:rFonts w:ascii="Times New Roman" w:eastAsia="MS PGothic" w:hAnsi="Times New Roman"/>
                <w:sz w:val="20"/>
              </w:rPr>
            </w:pPr>
            <w:r w:rsidRPr="000A17DB">
              <w:rPr>
                <w:rFonts w:ascii="Times New Roman" w:eastAsia="MS PGothic" w:hAnsi="Times New Roman"/>
                <w:sz w:val="20"/>
              </w:rPr>
              <w:t>0.29 (0.272)</w:t>
            </w:r>
          </w:p>
        </w:tc>
      </w:tr>
    </w:tbl>
    <w:p w14:paraId="1D24BA57" w14:textId="77777777" w:rsidR="000F0505" w:rsidRDefault="000F0505" w:rsidP="000A17DB">
      <w:pPr>
        <w:tabs>
          <w:tab w:val="left" w:pos="2580"/>
        </w:tabs>
        <w:spacing w:line="480" w:lineRule="auto"/>
        <w:jc w:val="left"/>
        <w:rPr>
          <w:b/>
          <w:bCs/>
        </w:rPr>
      </w:pPr>
    </w:p>
    <w:p w14:paraId="250D5561" w14:textId="77777777" w:rsidR="000F0505" w:rsidRDefault="000F0505" w:rsidP="000A17DB">
      <w:pPr>
        <w:tabs>
          <w:tab w:val="left" w:pos="2580"/>
        </w:tabs>
        <w:spacing w:line="480" w:lineRule="auto"/>
        <w:jc w:val="left"/>
        <w:rPr>
          <w:b/>
          <w:bCs/>
        </w:rPr>
      </w:pPr>
    </w:p>
    <w:p w14:paraId="0B911F71" w14:textId="77777777" w:rsidR="000F0505" w:rsidRDefault="000F0505" w:rsidP="00D10B4D">
      <w:pPr>
        <w:tabs>
          <w:tab w:val="left" w:pos="2580"/>
        </w:tabs>
        <w:spacing w:line="480" w:lineRule="auto"/>
        <w:jc w:val="left"/>
      </w:pPr>
    </w:p>
    <w:p w14:paraId="596FE42D" w14:textId="77777777" w:rsidR="00A35EEA" w:rsidRDefault="00A35EEA" w:rsidP="00454872">
      <w:pPr>
        <w:spacing w:line="360" w:lineRule="auto"/>
        <w:jc w:val="left"/>
        <w:rPr>
          <w:b/>
          <w:bCs/>
        </w:rPr>
      </w:pPr>
      <w:r>
        <w:rPr>
          <w:b/>
          <w:bCs/>
        </w:rPr>
        <w:t>Figure Caption</w:t>
      </w:r>
    </w:p>
    <w:p w14:paraId="3491800B" w14:textId="77777777" w:rsidR="00EC4582" w:rsidRDefault="008B6FF9" w:rsidP="00454872">
      <w:pPr>
        <w:spacing w:line="360" w:lineRule="auto"/>
        <w:jc w:val="left"/>
        <w:rPr>
          <w:rFonts w:ascii="Times New Roman" w:hAnsi="Times New Roman"/>
          <w:color w:val="000000" w:themeColor="text1"/>
          <w:szCs w:val="24"/>
        </w:rPr>
      </w:pPr>
      <w:r>
        <w:rPr>
          <w:b/>
          <w:bCs/>
        </w:rPr>
        <w:t>Fig. S1</w:t>
      </w:r>
      <w:r w:rsidR="00EC4582">
        <w:rPr>
          <w:b/>
          <w:bCs/>
        </w:rPr>
        <w:t>.</w:t>
      </w:r>
      <w:r w:rsidR="00EC4582">
        <w:t xml:space="preserve"> Seasonal variations of malonic (a, b), succinic (c, d), </w:t>
      </w:r>
      <w:proofErr w:type="spellStart"/>
      <w:r w:rsidR="00EC4582">
        <w:t>glutaric</w:t>
      </w:r>
      <w:proofErr w:type="spellEnd"/>
      <w:r w:rsidR="00EC4582">
        <w:t xml:space="preserve"> (e, f) and adipic (g, h) acids in ambient aerosol samples. The right panels are drawn based on </w:t>
      </w:r>
      <w:r w:rsidR="007855B6">
        <w:t xml:space="preserve">the </w:t>
      </w:r>
      <w:r w:rsidR="00DA6287">
        <w:t xml:space="preserve">monthly </w:t>
      </w:r>
      <w:r w:rsidR="00EC4582">
        <w:rPr>
          <w:rFonts w:ascii="Times New Roman" w:hAnsi="Times New Roman"/>
          <w:color w:val="000000" w:themeColor="text1"/>
          <w:szCs w:val="24"/>
        </w:rPr>
        <w:t xml:space="preserve">binned concentrations of aerosol samples irrespective of </w:t>
      </w:r>
      <w:r w:rsidR="00EC4582" w:rsidRPr="004E0D22">
        <w:rPr>
          <w:rFonts w:ascii="Times New Roman" w:hAnsi="Times New Roman"/>
          <w:color w:val="000000" w:themeColor="text1"/>
          <w:szCs w:val="24"/>
        </w:rPr>
        <w:t>years</w:t>
      </w:r>
      <w:r w:rsidR="00EC4582">
        <w:rPr>
          <w:rFonts w:ascii="Times New Roman" w:hAnsi="Times New Roman"/>
          <w:color w:val="000000" w:themeColor="text1"/>
          <w:szCs w:val="24"/>
        </w:rPr>
        <w:t xml:space="preserve">. </w:t>
      </w:r>
      <w:r w:rsidR="007855B6">
        <w:rPr>
          <w:rFonts w:ascii="Times New Roman" w:hAnsi="Times New Roman"/>
          <w:color w:val="000000" w:themeColor="text1"/>
          <w:szCs w:val="24"/>
        </w:rPr>
        <w:t xml:space="preserve">The </w:t>
      </w:r>
      <w:r w:rsidR="007855B6" w:rsidRPr="004E0D22">
        <w:rPr>
          <w:rFonts w:ascii="Times New Roman" w:hAnsi="Times New Roman"/>
          <w:color w:val="000000" w:themeColor="text1"/>
          <w:szCs w:val="24"/>
        </w:rPr>
        <w:t>lower</w:t>
      </w:r>
      <w:r w:rsidR="007855B6">
        <w:rPr>
          <w:rFonts w:ascii="Times New Roman" w:hAnsi="Times New Roman"/>
          <w:color w:val="000000" w:themeColor="text1"/>
          <w:szCs w:val="24"/>
        </w:rPr>
        <w:t xml:space="preserve"> and upper</w:t>
      </w:r>
      <w:r w:rsidR="007855B6" w:rsidRPr="004E0D22">
        <w:rPr>
          <w:rFonts w:ascii="Times New Roman" w:hAnsi="Times New Roman"/>
          <w:color w:val="000000" w:themeColor="text1"/>
          <w:szCs w:val="24"/>
        </w:rPr>
        <w:t xml:space="preserve"> whisker</w:t>
      </w:r>
      <w:r w:rsidR="007855B6">
        <w:rPr>
          <w:rFonts w:ascii="Times New Roman" w:hAnsi="Times New Roman"/>
          <w:color w:val="000000" w:themeColor="text1"/>
          <w:szCs w:val="24"/>
        </w:rPr>
        <w:t>s represent</w:t>
      </w:r>
      <w:r w:rsidR="007855B6" w:rsidRPr="004E0D22">
        <w:rPr>
          <w:rFonts w:ascii="Times New Roman" w:hAnsi="Times New Roman"/>
          <w:color w:val="000000" w:themeColor="text1"/>
          <w:szCs w:val="24"/>
        </w:rPr>
        <w:t xml:space="preserve"> </w:t>
      </w:r>
      <w:r w:rsidR="00676C67">
        <w:rPr>
          <w:rFonts w:ascii="Times New Roman" w:hAnsi="Times New Roman"/>
          <w:color w:val="000000" w:themeColor="text1"/>
          <w:szCs w:val="24"/>
        </w:rPr>
        <w:t xml:space="preserve">the </w:t>
      </w:r>
      <w:r w:rsidR="007855B6">
        <w:rPr>
          <w:rFonts w:ascii="Times New Roman" w:hAnsi="Times New Roman"/>
          <w:color w:val="000000" w:themeColor="text1"/>
          <w:szCs w:val="24"/>
        </w:rPr>
        <w:t xml:space="preserve">10th </w:t>
      </w:r>
      <w:r w:rsidR="007855B6" w:rsidRPr="004E0D22">
        <w:rPr>
          <w:rFonts w:ascii="Times New Roman" w:hAnsi="Times New Roman"/>
          <w:color w:val="000000" w:themeColor="text1"/>
          <w:szCs w:val="24"/>
        </w:rPr>
        <w:t>and 90th percentiles</w:t>
      </w:r>
      <w:r w:rsidR="007855B6">
        <w:rPr>
          <w:rFonts w:ascii="Times New Roman" w:hAnsi="Times New Roman"/>
          <w:color w:val="000000" w:themeColor="text1"/>
          <w:szCs w:val="24"/>
        </w:rPr>
        <w:t>, respectively</w:t>
      </w:r>
      <w:r w:rsidR="00DA6287">
        <w:rPr>
          <w:rFonts w:ascii="Times New Roman" w:hAnsi="Times New Roman"/>
          <w:color w:val="000000" w:themeColor="text1"/>
          <w:szCs w:val="24"/>
        </w:rPr>
        <w:t>. T</w:t>
      </w:r>
      <w:r w:rsidR="007855B6" w:rsidRPr="004E0D22">
        <w:rPr>
          <w:rFonts w:ascii="Times New Roman" w:hAnsi="Times New Roman"/>
          <w:color w:val="000000" w:themeColor="text1"/>
          <w:szCs w:val="24"/>
        </w:rPr>
        <w:t>he outliers are</w:t>
      </w:r>
      <w:r w:rsidR="007855B6">
        <w:rPr>
          <w:rFonts w:ascii="Times New Roman" w:hAnsi="Times New Roman"/>
          <w:color w:val="000000" w:themeColor="text1"/>
          <w:szCs w:val="24"/>
        </w:rPr>
        <w:t xml:space="preserve"> excluded in the right panels to avoid any distortion in the seasonality</w:t>
      </w:r>
      <w:r w:rsidR="007855B6" w:rsidRPr="004E0D22">
        <w:rPr>
          <w:rFonts w:ascii="Times New Roman" w:hAnsi="Times New Roman"/>
          <w:color w:val="000000" w:themeColor="text1"/>
          <w:szCs w:val="24"/>
        </w:rPr>
        <w:t>.</w:t>
      </w:r>
    </w:p>
    <w:p w14:paraId="4CE9FCD6" w14:textId="77777777" w:rsidR="00F853AE" w:rsidRPr="0048688B" w:rsidRDefault="00F853AE" w:rsidP="00454872">
      <w:pPr>
        <w:spacing w:line="360" w:lineRule="auto"/>
        <w:jc w:val="left"/>
      </w:pPr>
    </w:p>
    <w:p w14:paraId="47958B96" w14:textId="77777777" w:rsidR="00EC4582" w:rsidRDefault="008B6FF9" w:rsidP="00454872">
      <w:pPr>
        <w:pStyle w:val="NoSpacing"/>
        <w:spacing w:line="360" w:lineRule="auto"/>
        <w:ind w:leftChars="-1" w:hanging="2"/>
        <w:jc w:val="left"/>
        <w:rPr>
          <w:rFonts w:ascii="Times New Roman" w:hAnsi="Times New Roman"/>
          <w:color w:val="000000" w:themeColor="text1"/>
          <w:szCs w:val="24"/>
        </w:rPr>
      </w:pPr>
      <w:r>
        <w:rPr>
          <w:b/>
          <w:bCs/>
        </w:rPr>
        <w:t>Fig. S2</w:t>
      </w:r>
      <w:r w:rsidR="00EC4582">
        <w:rPr>
          <w:b/>
          <w:bCs/>
        </w:rPr>
        <w:t>.</w:t>
      </w:r>
      <w:r w:rsidR="00EC4582">
        <w:t xml:space="preserve"> Season</w:t>
      </w:r>
      <w:r w:rsidR="00621B9C">
        <w:t xml:space="preserve">al variations of </w:t>
      </w:r>
      <w:r w:rsidR="00DB7D91">
        <w:t>fumaric</w:t>
      </w:r>
      <w:r w:rsidR="00621B9C">
        <w:t xml:space="preserve"> (a, b</w:t>
      </w:r>
      <w:r w:rsidR="00EC4582">
        <w:t>),</w:t>
      </w:r>
      <w:r w:rsidR="00621B9C">
        <w:t xml:space="preserve"> methylmaleic (c, d) and</w:t>
      </w:r>
      <w:r w:rsidR="00EC4582">
        <w:t xml:space="preserve"> </w:t>
      </w:r>
      <w:proofErr w:type="spellStart"/>
      <w:r w:rsidR="00DB7D91">
        <w:t>iso</w:t>
      </w:r>
      <w:r w:rsidR="00EC4582">
        <w:t>phthalic</w:t>
      </w:r>
      <w:proofErr w:type="spellEnd"/>
      <w:r w:rsidR="00621B9C">
        <w:t xml:space="preserve"> (e, f) </w:t>
      </w:r>
      <w:r w:rsidR="00EC4582">
        <w:t xml:space="preserve">acids in ambient aerosol samples. The right panels are drawn based on </w:t>
      </w:r>
      <w:r w:rsidR="00621B9C">
        <w:t xml:space="preserve">the </w:t>
      </w:r>
      <w:r w:rsidR="00DA6287">
        <w:t xml:space="preserve">monthly </w:t>
      </w:r>
      <w:r w:rsidR="00EC4582">
        <w:rPr>
          <w:rFonts w:ascii="Times New Roman" w:hAnsi="Times New Roman"/>
          <w:color w:val="000000" w:themeColor="text1"/>
          <w:szCs w:val="24"/>
        </w:rPr>
        <w:t xml:space="preserve">binned concentrations of aerosol samples irrespective of </w:t>
      </w:r>
      <w:r w:rsidR="00EC4582" w:rsidRPr="004E0D22">
        <w:rPr>
          <w:rFonts w:ascii="Times New Roman" w:hAnsi="Times New Roman"/>
          <w:color w:val="000000" w:themeColor="text1"/>
          <w:szCs w:val="24"/>
        </w:rPr>
        <w:t>years</w:t>
      </w:r>
      <w:r w:rsidR="00EC4582">
        <w:rPr>
          <w:rFonts w:ascii="Times New Roman" w:hAnsi="Times New Roman"/>
          <w:color w:val="000000" w:themeColor="text1"/>
          <w:szCs w:val="24"/>
        </w:rPr>
        <w:t xml:space="preserve">. </w:t>
      </w:r>
      <w:r w:rsidR="007855B6">
        <w:rPr>
          <w:rFonts w:ascii="Times New Roman" w:hAnsi="Times New Roman"/>
          <w:color w:val="000000" w:themeColor="text1"/>
          <w:szCs w:val="24"/>
        </w:rPr>
        <w:t xml:space="preserve">The </w:t>
      </w:r>
      <w:r w:rsidR="007855B6" w:rsidRPr="004E0D22">
        <w:rPr>
          <w:rFonts w:ascii="Times New Roman" w:hAnsi="Times New Roman"/>
          <w:color w:val="000000" w:themeColor="text1"/>
          <w:szCs w:val="24"/>
        </w:rPr>
        <w:t>lower</w:t>
      </w:r>
      <w:r w:rsidR="007855B6">
        <w:rPr>
          <w:rFonts w:ascii="Times New Roman" w:hAnsi="Times New Roman"/>
          <w:color w:val="000000" w:themeColor="text1"/>
          <w:szCs w:val="24"/>
        </w:rPr>
        <w:t xml:space="preserve"> and upper</w:t>
      </w:r>
      <w:r w:rsidR="007855B6" w:rsidRPr="004E0D22">
        <w:rPr>
          <w:rFonts w:ascii="Times New Roman" w:hAnsi="Times New Roman"/>
          <w:color w:val="000000" w:themeColor="text1"/>
          <w:szCs w:val="24"/>
        </w:rPr>
        <w:t xml:space="preserve"> whisker</w:t>
      </w:r>
      <w:r w:rsidR="007855B6">
        <w:rPr>
          <w:rFonts w:ascii="Times New Roman" w:hAnsi="Times New Roman"/>
          <w:color w:val="000000" w:themeColor="text1"/>
          <w:szCs w:val="24"/>
        </w:rPr>
        <w:t>s represent</w:t>
      </w:r>
      <w:r w:rsidR="00676C67">
        <w:rPr>
          <w:rFonts w:ascii="Times New Roman" w:hAnsi="Times New Roman"/>
          <w:color w:val="000000" w:themeColor="text1"/>
          <w:szCs w:val="24"/>
        </w:rPr>
        <w:t xml:space="preserve"> the</w:t>
      </w:r>
      <w:r w:rsidR="007855B6" w:rsidRPr="004E0D22">
        <w:rPr>
          <w:rFonts w:ascii="Times New Roman" w:hAnsi="Times New Roman"/>
          <w:color w:val="000000" w:themeColor="text1"/>
          <w:szCs w:val="24"/>
        </w:rPr>
        <w:t xml:space="preserve"> </w:t>
      </w:r>
      <w:r w:rsidR="007855B6">
        <w:rPr>
          <w:rFonts w:ascii="Times New Roman" w:hAnsi="Times New Roman"/>
          <w:color w:val="000000" w:themeColor="text1"/>
          <w:szCs w:val="24"/>
        </w:rPr>
        <w:t xml:space="preserve">10th </w:t>
      </w:r>
      <w:r w:rsidR="007855B6" w:rsidRPr="004E0D22">
        <w:rPr>
          <w:rFonts w:ascii="Times New Roman" w:hAnsi="Times New Roman"/>
          <w:color w:val="000000" w:themeColor="text1"/>
          <w:szCs w:val="24"/>
        </w:rPr>
        <w:t xml:space="preserve">and </w:t>
      </w:r>
      <w:r w:rsidR="007855B6" w:rsidRPr="004E0D22">
        <w:rPr>
          <w:rFonts w:ascii="Times New Roman" w:hAnsi="Times New Roman"/>
          <w:color w:val="000000" w:themeColor="text1"/>
          <w:szCs w:val="24"/>
        </w:rPr>
        <w:lastRenderedPageBreak/>
        <w:t>90th percentiles</w:t>
      </w:r>
      <w:r w:rsidR="007855B6">
        <w:rPr>
          <w:rFonts w:ascii="Times New Roman" w:hAnsi="Times New Roman"/>
          <w:color w:val="000000" w:themeColor="text1"/>
          <w:szCs w:val="24"/>
        </w:rPr>
        <w:t>, respectively</w:t>
      </w:r>
      <w:r w:rsidR="00DA6287">
        <w:rPr>
          <w:rFonts w:ascii="Times New Roman" w:hAnsi="Times New Roman"/>
          <w:color w:val="000000" w:themeColor="text1"/>
          <w:szCs w:val="24"/>
        </w:rPr>
        <w:t>. T</w:t>
      </w:r>
      <w:r w:rsidR="007855B6" w:rsidRPr="004E0D22">
        <w:rPr>
          <w:rFonts w:ascii="Times New Roman" w:hAnsi="Times New Roman"/>
          <w:color w:val="000000" w:themeColor="text1"/>
          <w:szCs w:val="24"/>
        </w:rPr>
        <w:t>he outliers are</w:t>
      </w:r>
      <w:r w:rsidR="007855B6">
        <w:rPr>
          <w:rFonts w:ascii="Times New Roman" w:hAnsi="Times New Roman"/>
          <w:color w:val="000000" w:themeColor="text1"/>
          <w:szCs w:val="24"/>
        </w:rPr>
        <w:t xml:space="preserve"> excluded in the right panels to avoid any distortion in the seasonality</w:t>
      </w:r>
      <w:r w:rsidR="007855B6" w:rsidRPr="004E0D22">
        <w:rPr>
          <w:rFonts w:ascii="Times New Roman" w:hAnsi="Times New Roman"/>
          <w:color w:val="000000" w:themeColor="text1"/>
          <w:szCs w:val="24"/>
        </w:rPr>
        <w:t>.</w:t>
      </w:r>
    </w:p>
    <w:p w14:paraId="4F18DE45" w14:textId="77777777" w:rsidR="00EC4582" w:rsidRPr="004E0D22" w:rsidRDefault="00EC4582" w:rsidP="00454872">
      <w:pPr>
        <w:pStyle w:val="NoSpacing"/>
        <w:spacing w:line="360" w:lineRule="auto"/>
        <w:ind w:leftChars="-1" w:hanging="2"/>
        <w:jc w:val="left"/>
        <w:rPr>
          <w:rFonts w:ascii="Times New Roman" w:hAnsi="Times New Roman"/>
          <w:color w:val="000000" w:themeColor="text1"/>
          <w:szCs w:val="24"/>
        </w:rPr>
      </w:pPr>
    </w:p>
    <w:p w14:paraId="0813E2AC" w14:textId="77777777" w:rsidR="00483B4B" w:rsidRDefault="00EC4582" w:rsidP="00454872">
      <w:pPr>
        <w:pStyle w:val="NoSpacing"/>
        <w:spacing w:line="360" w:lineRule="auto"/>
        <w:ind w:firstLineChars="6" w:firstLine="14"/>
        <w:jc w:val="left"/>
        <w:rPr>
          <w:rFonts w:ascii="Times New Roman" w:hAnsi="Times New Roman"/>
          <w:color w:val="000000" w:themeColor="text1"/>
          <w:szCs w:val="24"/>
        </w:rPr>
      </w:pPr>
      <w:r w:rsidRPr="00ED1533">
        <w:rPr>
          <w:rFonts w:ascii="Times New Roman" w:hAnsi="Times New Roman"/>
          <w:b/>
          <w:color w:val="000000" w:themeColor="text1"/>
          <w:szCs w:val="24"/>
        </w:rPr>
        <w:t xml:space="preserve">Fig. </w:t>
      </w:r>
      <w:r>
        <w:rPr>
          <w:rFonts w:ascii="Times New Roman" w:hAnsi="Times New Roman"/>
          <w:b/>
          <w:color w:val="000000" w:themeColor="text1"/>
          <w:szCs w:val="24"/>
        </w:rPr>
        <w:t>S</w:t>
      </w:r>
      <w:r w:rsidR="00D534C7">
        <w:rPr>
          <w:rFonts w:ascii="Times New Roman" w:hAnsi="Times New Roman"/>
          <w:b/>
          <w:color w:val="000000" w:themeColor="text1"/>
          <w:szCs w:val="24"/>
        </w:rPr>
        <w:t>3</w:t>
      </w:r>
      <w:r w:rsidRPr="00ED1533">
        <w:rPr>
          <w:rFonts w:ascii="Times New Roman" w:hAnsi="Times New Roman"/>
          <w:b/>
          <w:color w:val="000000" w:themeColor="text1"/>
          <w:szCs w:val="24"/>
        </w:rPr>
        <w:t>.</w:t>
      </w:r>
      <w:r>
        <w:rPr>
          <w:rFonts w:ascii="Times New Roman" w:hAnsi="Times New Roman"/>
          <w:color w:val="000000" w:themeColor="text1"/>
          <w:szCs w:val="24"/>
        </w:rPr>
        <w:t xml:space="preserve"> </w:t>
      </w:r>
      <w:r w:rsidR="00DB7D91">
        <w:rPr>
          <w:rFonts w:ascii="Times New Roman" w:hAnsi="Times New Roman"/>
          <w:szCs w:val="24"/>
        </w:rPr>
        <w:t xml:space="preserve">The seasonality of </w:t>
      </w:r>
      <w:r w:rsidR="00EE1962">
        <w:rPr>
          <w:rFonts w:ascii="Times New Roman" w:hAnsi="Times New Roman"/>
          <w:szCs w:val="24"/>
        </w:rPr>
        <w:t xml:space="preserve">total carbon (TC) normalized concentrations of </w:t>
      </w:r>
      <w:r w:rsidR="00371552">
        <w:rPr>
          <w:rFonts w:ascii="Times New Roman" w:hAnsi="Times New Roman"/>
          <w:szCs w:val="24"/>
        </w:rPr>
        <w:t xml:space="preserve">oxalic acid (a, b), azelaic acid (c, d), </w:t>
      </w:r>
      <w:proofErr w:type="spellStart"/>
      <w:r w:rsidR="00371552">
        <w:rPr>
          <w:rFonts w:ascii="Times New Roman" w:hAnsi="Times New Roman"/>
          <w:szCs w:val="24"/>
        </w:rPr>
        <w:t>methylsuccinic</w:t>
      </w:r>
      <w:proofErr w:type="spellEnd"/>
      <w:r w:rsidR="00371552">
        <w:rPr>
          <w:rFonts w:ascii="Times New Roman" w:hAnsi="Times New Roman"/>
          <w:szCs w:val="24"/>
        </w:rPr>
        <w:t xml:space="preserve"> acid (e, f) and </w:t>
      </w:r>
      <w:proofErr w:type="spellStart"/>
      <w:r w:rsidR="00371552">
        <w:rPr>
          <w:rFonts w:ascii="Times New Roman" w:hAnsi="Times New Roman"/>
          <w:szCs w:val="24"/>
        </w:rPr>
        <w:t>ketopimelic</w:t>
      </w:r>
      <w:proofErr w:type="spellEnd"/>
      <w:r w:rsidR="00371552">
        <w:rPr>
          <w:rFonts w:ascii="Times New Roman" w:hAnsi="Times New Roman"/>
          <w:szCs w:val="24"/>
        </w:rPr>
        <w:t xml:space="preserve"> acid (g, h) </w:t>
      </w:r>
      <w:r w:rsidR="00DB7D91">
        <w:rPr>
          <w:rFonts w:ascii="Times New Roman" w:hAnsi="Times New Roman"/>
          <w:szCs w:val="24"/>
        </w:rPr>
        <w:t>in aer</w:t>
      </w:r>
      <w:r w:rsidR="00371552">
        <w:rPr>
          <w:rFonts w:ascii="Times New Roman" w:hAnsi="Times New Roman"/>
          <w:szCs w:val="24"/>
        </w:rPr>
        <w:t>osol samples</w:t>
      </w:r>
      <w:r w:rsidR="00DB7D91">
        <w:rPr>
          <w:rFonts w:ascii="Times New Roman" w:hAnsi="Times New Roman"/>
          <w:szCs w:val="24"/>
        </w:rPr>
        <w:t xml:space="preserve">. </w:t>
      </w:r>
      <w:r w:rsidR="00371552">
        <w:t xml:space="preserve">The right panels are drawn based on the </w:t>
      </w:r>
      <w:r w:rsidR="00676C67">
        <w:t xml:space="preserve">monthly </w:t>
      </w:r>
      <w:r w:rsidR="00371552">
        <w:rPr>
          <w:rFonts w:ascii="Times New Roman" w:hAnsi="Times New Roman"/>
          <w:color w:val="000000" w:themeColor="text1"/>
          <w:szCs w:val="24"/>
        </w:rPr>
        <w:t>binned normalized-co</w:t>
      </w:r>
      <w:r w:rsidR="00676C67">
        <w:rPr>
          <w:rFonts w:ascii="Times New Roman" w:hAnsi="Times New Roman"/>
          <w:color w:val="000000" w:themeColor="text1"/>
          <w:szCs w:val="24"/>
        </w:rPr>
        <w:t xml:space="preserve">ncentrations of aerosol samples 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irrespective of 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years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. The 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lower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 and upper</w:t>
      </w:r>
      <w:r w:rsidR="00371552" w:rsidRPr="004E0D22">
        <w:rPr>
          <w:rFonts w:ascii="Times New Roman" w:hAnsi="Times New Roman"/>
          <w:color w:val="000000" w:themeColor="text1"/>
          <w:szCs w:val="24"/>
        </w:rPr>
        <w:t xml:space="preserve"> whisker</w:t>
      </w:r>
      <w:r w:rsidR="00371552">
        <w:rPr>
          <w:rFonts w:ascii="Times New Roman" w:hAnsi="Times New Roman"/>
          <w:color w:val="000000" w:themeColor="text1"/>
          <w:szCs w:val="24"/>
        </w:rPr>
        <w:t>s represent</w:t>
      </w:r>
      <w:r w:rsidR="00676C67">
        <w:rPr>
          <w:rFonts w:ascii="Times New Roman" w:hAnsi="Times New Roman"/>
          <w:color w:val="000000" w:themeColor="text1"/>
          <w:szCs w:val="24"/>
        </w:rPr>
        <w:t xml:space="preserve"> the</w:t>
      </w:r>
      <w:r w:rsidR="00371552" w:rsidRPr="004E0D22">
        <w:rPr>
          <w:rFonts w:ascii="Times New Roman" w:hAnsi="Times New Roman"/>
          <w:color w:val="000000" w:themeColor="text1"/>
          <w:szCs w:val="24"/>
        </w:rPr>
        <w:t xml:space="preserve"> 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10th 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and 90th percentiles</w:t>
      </w:r>
      <w:r w:rsidR="00371552">
        <w:rPr>
          <w:rFonts w:ascii="Times New Roman" w:hAnsi="Times New Roman"/>
          <w:color w:val="000000" w:themeColor="text1"/>
          <w:szCs w:val="24"/>
        </w:rPr>
        <w:t>, respectively</w:t>
      </w:r>
      <w:r w:rsidR="00676C67">
        <w:rPr>
          <w:rFonts w:ascii="Times New Roman" w:hAnsi="Times New Roman"/>
          <w:color w:val="000000" w:themeColor="text1"/>
          <w:szCs w:val="24"/>
        </w:rPr>
        <w:t>. T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he outliers are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 excluded in the right panels to avoid any distortion in the seasonality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.</w:t>
      </w:r>
    </w:p>
    <w:p w14:paraId="7DEB9FA5" w14:textId="77777777" w:rsidR="00483B4B" w:rsidRDefault="00483B4B" w:rsidP="00454872">
      <w:pPr>
        <w:pStyle w:val="NoSpacing"/>
        <w:spacing w:line="360" w:lineRule="auto"/>
        <w:ind w:firstLineChars="6" w:firstLine="14"/>
        <w:jc w:val="left"/>
        <w:rPr>
          <w:rFonts w:ascii="Times New Roman" w:hAnsi="Times New Roman"/>
          <w:color w:val="000000" w:themeColor="text1"/>
          <w:szCs w:val="24"/>
        </w:rPr>
      </w:pPr>
    </w:p>
    <w:p w14:paraId="535881DD" w14:textId="77777777" w:rsidR="00EE1962" w:rsidRDefault="008B6FF9" w:rsidP="00454872">
      <w:pPr>
        <w:pStyle w:val="NoSpacing"/>
        <w:spacing w:line="360" w:lineRule="auto"/>
        <w:ind w:firstLineChars="6" w:firstLine="14"/>
        <w:jc w:val="left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b/>
          <w:color w:val="000000" w:themeColor="text1"/>
          <w:szCs w:val="24"/>
        </w:rPr>
        <w:t>Fig. S</w:t>
      </w:r>
      <w:r w:rsidR="00D534C7">
        <w:rPr>
          <w:rFonts w:ascii="Times New Roman" w:hAnsi="Times New Roman"/>
          <w:b/>
          <w:color w:val="000000" w:themeColor="text1"/>
          <w:szCs w:val="24"/>
        </w:rPr>
        <w:t>4</w:t>
      </w:r>
      <w:r w:rsidR="00EC4582" w:rsidRPr="00ED1533">
        <w:rPr>
          <w:rFonts w:ascii="Times New Roman" w:hAnsi="Times New Roman"/>
          <w:b/>
          <w:color w:val="000000" w:themeColor="text1"/>
          <w:szCs w:val="24"/>
        </w:rPr>
        <w:t>.</w:t>
      </w:r>
      <w:r w:rsidR="00EC4582">
        <w:rPr>
          <w:rFonts w:ascii="Times New Roman" w:hAnsi="Times New Roman"/>
          <w:color w:val="000000" w:themeColor="text1"/>
          <w:szCs w:val="24"/>
        </w:rPr>
        <w:t xml:space="preserve"> </w:t>
      </w:r>
      <w:r w:rsidR="00371552">
        <w:rPr>
          <w:rFonts w:ascii="Times New Roman" w:hAnsi="Times New Roman"/>
          <w:szCs w:val="24"/>
        </w:rPr>
        <w:t>The seasonality of total carbon (TC) normalized concentrati</w:t>
      </w:r>
      <w:r w:rsidR="00E669CA">
        <w:rPr>
          <w:rFonts w:ascii="Times New Roman" w:hAnsi="Times New Roman"/>
          <w:szCs w:val="24"/>
        </w:rPr>
        <w:t>ons of maleic acid (a, b), phthalic acid (c, d</w:t>
      </w:r>
      <w:r w:rsidR="00371552">
        <w:rPr>
          <w:rFonts w:ascii="Times New Roman" w:hAnsi="Times New Roman"/>
          <w:szCs w:val="24"/>
        </w:rPr>
        <w:t xml:space="preserve">) and </w:t>
      </w:r>
      <w:proofErr w:type="spellStart"/>
      <w:r w:rsidR="00371552">
        <w:rPr>
          <w:rFonts w:ascii="Times New Roman" w:hAnsi="Times New Roman"/>
          <w:szCs w:val="24"/>
        </w:rPr>
        <w:t>terephthalic</w:t>
      </w:r>
      <w:proofErr w:type="spellEnd"/>
      <w:r w:rsidR="00371552">
        <w:rPr>
          <w:rFonts w:ascii="Times New Roman" w:hAnsi="Times New Roman"/>
          <w:szCs w:val="24"/>
        </w:rPr>
        <w:t xml:space="preserve"> a</w:t>
      </w:r>
      <w:r w:rsidR="00E669CA">
        <w:rPr>
          <w:rFonts w:ascii="Times New Roman" w:hAnsi="Times New Roman"/>
          <w:szCs w:val="24"/>
        </w:rPr>
        <w:t>cid (e, f</w:t>
      </w:r>
      <w:r w:rsidR="00371552">
        <w:rPr>
          <w:rFonts w:ascii="Times New Roman" w:hAnsi="Times New Roman"/>
          <w:szCs w:val="24"/>
        </w:rPr>
        <w:t xml:space="preserve">) in aerosol samples. </w:t>
      </w:r>
      <w:r w:rsidR="00371552">
        <w:t xml:space="preserve">The right panels are drawn based on the </w:t>
      </w:r>
      <w:r w:rsidR="00676C67">
        <w:t xml:space="preserve">monthly </w:t>
      </w:r>
      <w:r w:rsidR="00371552">
        <w:rPr>
          <w:rFonts w:ascii="Times New Roman" w:hAnsi="Times New Roman"/>
          <w:color w:val="000000" w:themeColor="text1"/>
          <w:szCs w:val="24"/>
        </w:rPr>
        <w:t>binned normalized-co</w:t>
      </w:r>
      <w:r w:rsidR="00676C67">
        <w:rPr>
          <w:rFonts w:ascii="Times New Roman" w:hAnsi="Times New Roman"/>
          <w:color w:val="000000" w:themeColor="text1"/>
          <w:szCs w:val="24"/>
        </w:rPr>
        <w:t>ncentrations of aerosol samples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 irrespective of 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years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. The 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lower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 and upper</w:t>
      </w:r>
      <w:r w:rsidR="00371552" w:rsidRPr="004E0D22">
        <w:rPr>
          <w:rFonts w:ascii="Times New Roman" w:hAnsi="Times New Roman"/>
          <w:color w:val="000000" w:themeColor="text1"/>
          <w:szCs w:val="24"/>
        </w:rPr>
        <w:t xml:space="preserve"> whisker</w:t>
      </w:r>
      <w:r w:rsidR="00371552">
        <w:rPr>
          <w:rFonts w:ascii="Times New Roman" w:hAnsi="Times New Roman"/>
          <w:color w:val="000000" w:themeColor="text1"/>
          <w:szCs w:val="24"/>
        </w:rPr>
        <w:t>s represent</w:t>
      </w:r>
      <w:r w:rsidR="00FA3DB2">
        <w:rPr>
          <w:rFonts w:ascii="Times New Roman" w:hAnsi="Times New Roman"/>
          <w:color w:val="000000" w:themeColor="text1"/>
          <w:szCs w:val="24"/>
        </w:rPr>
        <w:t xml:space="preserve"> the</w:t>
      </w:r>
      <w:r w:rsidR="00371552" w:rsidRPr="004E0D22">
        <w:rPr>
          <w:rFonts w:ascii="Times New Roman" w:hAnsi="Times New Roman"/>
          <w:color w:val="000000" w:themeColor="text1"/>
          <w:szCs w:val="24"/>
        </w:rPr>
        <w:t xml:space="preserve"> 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10th 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and 90th percentiles</w:t>
      </w:r>
      <w:r w:rsidR="00371552">
        <w:rPr>
          <w:rFonts w:ascii="Times New Roman" w:hAnsi="Times New Roman"/>
          <w:color w:val="000000" w:themeColor="text1"/>
          <w:szCs w:val="24"/>
        </w:rPr>
        <w:t>, respectively</w:t>
      </w:r>
      <w:r w:rsidR="00FA3DB2">
        <w:rPr>
          <w:rFonts w:ascii="Times New Roman" w:hAnsi="Times New Roman"/>
          <w:color w:val="000000" w:themeColor="text1"/>
          <w:szCs w:val="24"/>
        </w:rPr>
        <w:t>. T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he outliers are</w:t>
      </w:r>
      <w:r w:rsidR="00371552">
        <w:rPr>
          <w:rFonts w:ascii="Times New Roman" w:hAnsi="Times New Roman"/>
          <w:color w:val="000000" w:themeColor="text1"/>
          <w:szCs w:val="24"/>
        </w:rPr>
        <w:t xml:space="preserve"> excluded in the right panels to avoid any distortion in the seasonality</w:t>
      </w:r>
      <w:r w:rsidR="00371552" w:rsidRPr="004E0D22">
        <w:rPr>
          <w:rFonts w:ascii="Times New Roman" w:hAnsi="Times New Roman"/>
          <w:color w:val="000000" w:themeColor="text1"/>
          <w:szCs w:val="24"/>
        </w:rPr>
        <w:t>.</w:t>
      </w:r>
    </w:p>
    <w:p w14:paraId="057ADE1F" w14:textId="77777777" w:rsidR="00EE1962" w:rsidRDefault="00EE1962" w:rsidP="00454872">
      <w:pPr>
        <w:pStyle w:val="NoSpacing"/>
        <w:spacing w:line="360" w:lineRule="auto"/>
        <w:ind w:firstLineChars="6" w:firstLine="14"/>
        <w:jc w:val="left"/>
        <w:rPr>
          <w:rFonts w:ascii="Times New Roman" w:hAnsi="Times New Roman"/>
          <w:color w:val="000000" w:themeColor="text1"/>
          <w:szCs w:val="24"/>
        </w:rPr>
      </w:pPr>
    </w:p>
    <w:p w14:paraId="55A7EEC7" w14:textId="77777777" w:rsidR="00F853AE" w:rsidRPr="00A37926" w:rsidRDefault="00D534C7" w:rsidP="00454872">
      <w:pPr>
        <w:pStyle w:val="NoSpacing"/>
        <w:spacing w:line="360" w:lineRule="auto"/>
        <w:ind w:firstLineChars="6" w:firstLine="14"/>
        <w:jc w:val="left"/>
        <w:rPr>
          <w:rFonts w:ascii="Times New Roman" w:hAnsi="Times New Roman"/>
          <w:szCs w:val="24"/>
        </w:rPr>
      </w:pPr>
      <w:r>
        <w:rPr>
          <w:b/>
          <w:bCs/>
        </w:rPr>
        <w:t>Fig. S5</w:t>
      </w:r>
      <w:r w:rsidR="00EC4582">
        <w:rPr>
          <w:b/>
          <w:bCs/>
        </w:rPr>
        <w:t>.</w:t>
      </w:r>
      <w:r w:rsidR="00EC4582">
        <w:t xml:space="preserve"> </w:t>
      </w:r>
      <w:r w:rsidR="00EE1962">
        <w:rPr>
          <w:rFonts w:ascii="Times New Roman" w:hAnsi="Times New Roman"/>
          <w:szCs w:val="24"/>
        </w:rPr>
        <w:t>The seas</w:t>
      </w:r>
      <w:r w:rsidR="00C533A0">
        <w:rPr>
          <w:rFonts w:ascii="Times New Roman" w:hAnsi="Times New Roman"/>
          <w:szCs w:val="24"/>
        </w:rPr>
        <w:t>onality of</w:t>
      </w:r>
      <w:r w:rsidR="00695507">
        <w:rPr>
          <w:rFonts w:ascii="Times New Roman" w:hAnsi="Times New Roman"/>
          <w:szCs w:val="24"/>
        </w:rPr>
        <w:t xml:space="preserve"> meteorological parameters over the time period of 2001-2008 at Gosan.</w:t>
      </w:r>
      <w:r w:rsidR="00C533A0">
        <w:rPr>
          <w:rFonts w:ascii="Times New Roman" w:hAnsi="Times New Roman"/>
          <w:szCs w:val="24"/>
        </w:rPr>
        <w:t xml:space="preserve"> </w:t>
      </w:r>
      <w:r w:rsidR="00FA3DB2">
        <w:rPr>
          <w:rFonts w:ascii="Times New Roman" w:hAnsi="Times New Roman"/>
          <w:szCs w:val="24"/>
        </w:rPr>
        <w:t>(</w:t>
      </w:r>
      <w:r w:rsidR="00C533A0">
        <w:rPr>
          <w:rFonts w:ascii="Times New Roman" w:hAnsi="Times New Roman"/>
          <w:szCs w:val="24"/>
        </w:rPr>
        <w:t xml:space="preserve">a) </w:t>
      </w:r>
      <w:proofErr w:type="gramStart"/>
      <w:r w:rsidR="00C533A0">
        <w:rPr>
          <w:rFonts w:ascii="Times New Roman" w:hAnsi="Times New Roman"/>
          <w:szCs w:val="24"/>
        </w:rPr>
        <w:t>precipitation</w:t>
      </w:r>
      <w:proofErr w:type="gramEnd"/>
      <w:r w:rsidR="00C533A0">
        <w:rPr>
          <w:rFonts w:ascii="Times New Roman" w:hAnsi="Times New Roman"/>
          <w:szCs w:val="24"/>
        </w:rPr>
        <w:t xml:space="preserve">, </w:t>
      </w:r>
      <w:r w:rsidR="00FA3DB2">
        <w:rPr>
          <w:rFonts w:ascii="Times New Roman" w:hAnsi="Times New Roman"/>
          <w:szCs w:val="24"/>
        </w:rPr>
        <w:t>(</w:t>
      </w:r>
      <w:r w:rsidR="00EE1962">
        <w:rPr>
          <w:rFonts w:ascii="Times New Roman" w:hAnsi="Times New Roman"/>
          <w:szCs w:val="24"/>
        </w:rPr>
        <w:t>b) temperature</w:t>
      </w:r>
      <w:r w:rsidR="00C533A0">
        <w:rPr>
          <w:rFonts w:ascii="Times New Roman" w:hAnsi="Times New Roman"/>
          <w:szCs w:val="24"/>
        </w:rPr>
        <w:t xml:space="preserve"> and </w:t>
      </w:r>
      <w:r w:rsidR="00FA3DB2">
        <w:rPr>
          <w:rFonts w:ascii="Times New Roman" w:hAnsi="Times New Roman"/>
          <w:szCs w:val="24"/>
        </w:rPr>
        <w:t>(</w:t>
      </w:r>
      <w:r w:rsidR="00C533A0">
        <w:rPr>
          <w:rFonts w:ascii="Times New Roman" w:hAnsi="Times New Roman"/>
          <w:szCs w:val="24"/>
        </w:rPr>
        <w:t xml:space="preserve">c) </w:t>
      </w:r>
      <w:r w:rsidR="00E669CA">
        <w:rPr>
          <w:rFonts w:ascii="Times New Roman" w:hAnsi="Times New Roman"/>
          <w:szCs w:val="24"/>
        </w:rPr>
        <w:t xml:space="preserve">relative </w:t>
      </w:r>
      <w:r w:rsidR="00C533A0">
        <w:rPr>
          <w:rFonts w:ascii="Times New Roman" w:hAnsi="Times New Roman"/>
          <w:szCs w:val="24"/>
        </w:rPr>
        <w:t>humidity</w:t>
      </w:r>
      <w:r w:rsidR="00EE1962">
        <w:rPr>
          <w:rFonts w:ascii="Times New Roman" w:hAnsi="Times New Roman"/>
          <w:szCs w:val="24"/>
        </w:rPr>
        <w:t xml:space="preserve">. </w:t>
      </w:r>
      <w:r w:rsidR="00E03D05">
        <w:rPr>
          <w:rFonts w:ascii="Times New Roman" w:hAnsi="Times New Roman"/>
          <w:color w:val="000000" w:themeColor="text1"/>
          <w:szCs w:val="24"/>
        </w:rPr>
        <w:t>The lower whisker represents</w:t>
      </w:r>
      <w:r w:rsidR="00C533A0">
        <w:rPr>
          <w:rFonts w:ascii="Times New Roman" w:hAnsi="Times New Roman"/>
          <w:color w:val="000000" w:themeColor="text1"/>
          <w:szCs w:val="24"/>
        </w:rPr>
        <w:t xml:space="preserve"> the</w:t>
      </w:r>
      <w:r w:rsidR="00E03D05">
        <w:rPr>
          <w:rFonts w:ascii="Times New Roman" w:hAnsi="Times New Roman"/>
          <w:color w:val="000000" w:themeColor="text1"/>
          <w:szCs w:val="24"/>
        </w:rPr>
        <w:t xml:space="preserve"> 10</w:t>
      </w:r>
      <w:r w:rsidR="00E03D05" w:rsidRPr="00EE1962">
        <w:rPr>
          <w:rFonts w:ascii="Times New Roman" w:hAnsi="Times New Roman"/>
          <w:color w:val="000000" w:themeColor="text1"/>
          <w:szCs w:val="24"/>
          <w:vertAlign w:val="superscript"/>
        </w:rPr>
        <w:t>th</w:t>
      </w:r>
      <w:r w:rsidR="00E03D05">
        <w:rPr>
          <w:rFonts w:ascii="Times New Roman" w:hAnsi="Times New Roman"/>
          <w:color w:val="000000" w:themeColor="text1"/>
          <w:szCs w:val="24"/>
        </w:rPr>
        <w:t xml:space="preserve"> percentile wher</w:t>
      </w:r>
      <w:r w:rsidR="00C533A0">
        <w:rPr>
          <w:rFonts w:ascii="Times New Roman" w:hAnsi="Times New Roman"/>
          <w:color w:val="000000" w:themeColor="text1"/>
          <w:szCs w:val="24"/>
        </w:rPr>
        <w:t>eas the upper whisker shows</w:t>
      </w:r>
      <w:r w:rsidR="00E03D05">
        <w:rPr>
          <w:rFonts w:ascii="Times New Roman" w:hAnsi="Times New Roman"/>
          <w:color w:val="000000" w:themeColor="text1"/>
          <w:szCs w:val="24"/>
        </w:rPr>
        <w:t xml:space="preserve"> </w:t>
      </w:r>
      <w:r w:rsidR="00C533A0">
        <w:rPr>
          <w:rFonts w:ascii="Times New Roman" w:hAnsi="Times New Roman"/>
          <w:color w:val="000000" w:themeColor="text1"/>
          <w:szCs w:val="24"/>
        </w:rPr>
        <w:t xml:space="preserve">the </w:t>
      </w:r>
      <w:r w:rsidR="00E03D05" w:rsidRPr="004E0D22">
        <w:rPr>
          <w:rFonts w:ascii="Times New Roman" w:hAnsi="Times New Roman"/>
          <w:color w:val="000000" w:themeColor="text1"/>
          <w:szCs w:val="24"/>
        </w:rPr>
        <w:t>90th percentile</w:t>
      </w:r>
      <w:r w:rsidR="00E03D05">
        <w:rPr>
          <w:rFonts w:ascii="Times New Roman" w:hAnsi="Times New Roman"/>
          <w:color w:val="000000" w:themeColor="text1"/>
          <w:szCs w:val="24"/>
        </w:rPr>
        <w:t xml:space="preserve">. </w:t>
      </w:r>
      <w:r w:rsidR="00EE1962" w:rsidRPr="00C62355">
        <w:rPr>
          <w:rFonts w:ascii="Times New Roman" w:hAnsi="Times New Roman"/>
          <w:szCs w:val="24"/>
        </w:rPr>
        <w:t>Data were obtained from Korea Meteorological Administration (KMA).</w:t>
      </w:r>
    </w:p>
    <w:sectPr w:rsidR="00F853AE" w:rsidRPr="00A37926" w:rsidSect="008D2D98">
      <w:pgSz w:w="11907" w:h="16839" w:code="9"/>
      <w:pgMar w:top="1440" w:right="72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82"/>
    <w:rsid w:val="00032550"/>
    <w:rsid w:val="000A17DB"/>
    <w:rsid w:val="000F0505"/>
    <w:rsid w:val="001240FC"/>
    <w:rsid w:val="001C5927"/>
    <w:rsid w:val="001C6FCA"/>
    <w:rsid w:val="001D15FC"/>
    <w:rsid w:val="001F2070"/>
    <w:rsid w:val="002E7FAD"/>
    <w:rsid w:val="00371552"/>
    <w:rsid w:val="003C4450"/>
    <w:rsid w:val="00454872"/>
    <w:rsid w:val="00483B4B"/>
    <w:rsid w:val="004A6BEC"/>
    <w:rsid w:val="00551421"/>
    <w:rsid w:val="00621B9C"/>
    <w:rsid w:val="00676C67"/>
    <w:rsid w:val="00695507"/>
    <w:rsid w:val="006B351E"/>
    <w:rsid w:val="007855B6"/>
    <w:rsid w:val="007B3D2D"/>
    <w:rsid w:val="007C2AFF"/>
    <w:rsid w:val="00813A80"/>
    <w:rsid w:val="008B22BC"/>
    <w:rsid w:val="008B6FF9"/>
    <w:rsid w:val="008D2D98"/>
    <w:rsid w:val="00A33F5E"/>
    <w:rsid w:val="00A35EEA"/>
    <w:rsid w:val="00A37926"/>
    <w:rsid w:val="00B02B37"/>
    <w:rsid w:val="00B4316A"/>
    <w:rsid w:val="00BA661A"/>
    <w:rsid w:val="00C533A0"/>
    <w:rsid w:val="00C640C0"/>
    <w:rsid w:val="00C66908"/>
    <w:rsid w:val="00CE1824"/>
    <w:rsid w:val="00D10B4D"/>
    <w:rsid w:val="00D10D02"/>
    <w:rsid w:val="00D534C7"/>
    <w:rsid w:val="00DA6287"/>
    <w:rsid w:val="00DB7D91"/>
    <w:rsid w:val="00E03D05"/>
    <w:rsid w:val="00E62539"/>
    <w:rsid w:val="00E669CA"/>
    <w:rsid w:val="00EA5B3E"/>
    <w:rsid w:val="00EC4582"/>
    <w:rsid w:val="00EE1962"/>
    <w:rsid w:val="00F27163"/>
    <w:rsid w:val="00F52B37"/>
    <w:rsid w:val="00F853AE"/>
    <w:rsid w:val="00FA3DB2"/>
    <w:rsid w:val="00FD2858"/>
    <w:rsid w:val="00FE61D3"/>
    <w:rsid w:val="00FF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39FD8F"/>
  <w15:docId w15:val="{E1FB76A6-BC2E-46E9-9B96-AA592E048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582"/>
    <w:pPr>
      <w:spacing w:after="200" w:line="240" w:lineRule="auto"/>
      <w:jc w:val="both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Title">
    <w:name w:val="BA_Title"/>
    <w:basedOn w:val="Normal"/>
    <w:next w:val="BBAuthorName"/>
    <w:rsid w:val="00EC4582"/>
    <w:pPr>
      <w:spacing w:before="720" w:after="360" w:line="480" w:lineRule="auto"/>
      <w:jc w:val="center"/>
    </w:pPr>
    <w:rPr>
      <w:rFonts w:ascii="Times New Roman" w:hAnsi="Times New Roman"/>
      <w:sz w:val="44"/>
    </w:rPr>
  </w:style>
  <w:style w:type="paragraph" w:customStyle="1" w:styleId="BBAuthorName">
    <w:name w:val="BB_Author_Name"/>
    <w:basedOn w:val="Normal"/>
    <w:next w:val="Normal"/>
    <w:rsid w:val="00EC4582"/>
    <w:pPr>
      <w:spacing w:after="240" w:line="480" w:lineRule="auto"/>
      <w:jc w:val="center"/>
    </w:pPr>
    <w:rPr>
      <w:i/>
    </w:rPr>
  </w:style>
  <w:style w:type="paragraph" w:customStyle="1" w:styleId="FACorrespondingAuthorFootnote">
    <w:name w:val="FA_Corresponding_Author_Footnote"/>
    <w:basedOn w:val="Normal"/>
    <w:next w:val="Normal"/>
    <w:rsid w:val="00EC4582"/>
    <w:pPr>
      <w:spacing w:line="480" w:lineRule="auto"/>
    </w:pPr>
  </w:style>
  <w:style w:type="character" w:styleId="Hyperlink">
    <w:name w:val="Hyperlink"/>
    <w:rsid w:val="00EC4582"/>
    <w:rPr>
      <w:color w:val="0000FF"/>
      <w:u w:val="single"/>
    </w:rPr>
  </w:style>
  <w:style w:type="character" w:styleId="HTMLTypewriter">
    <w:name w:val="HTML Typewriter"/>
    <w:basedOn w:val="DefaultParagraphFont"/>
    <w:uiPriority w:val="99"/>
    <w:semiHidden/>
    <w:unhideWhenUsed/>
    <w:rsid w:val="00EC4582"/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1"/>
    <w:qFormat/>
    <w:rsid w:val="00EC4582"/>
    <w:pPr>
      <w:spacing w:after="0" w:line="240" w:lineRule="auto"/>
      <w:jc w:val="both"/>
    </w:pPr>
    <w:rPr>
      <w:rFonts w:ascii="Times" w:eastAsia="Times New Roman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592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92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4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kundu@pop.lowtem.hokudai.ac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Shuvashish Kundu</dc:creator>
  <cp:keywords/>
  <dc:description/>
  <cp:lastModifiedBy>Shuvashish Kundu</cp:lastModifiedBy>
  <cp:revision>2</cp:revision>
  <cp:lastPrinted>2015-06-15T10:10:00Z</cp:lastPrinted>
  <dcterms:created xsi:type="dcterms:W3CDTF">2015-07-19T00:55:00Z</dcterms:created>
  <dcterms:modified xsi:type="dcterms:W3CDTF">2015-07-19T00:55:00Z</dcterms:modified>
</cp:coreProperties>
</file>